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C5739" w14:textId="436C9DD3" w:rsidR="00A54B46" w:rsidRPr="005B0BE6" w:rsidRDefault="00B30083">
      <w:pPr>
        <w:jc w:val="center"/>
        <w:rPr>
          <w:b/>
          <w:sz w:val="30"/>
          <w:szCs w:val="30"/>
        </w:rPr>
      </w:pPr>
      <w:r>
        <w:rPr>
          <w:b/>
          <w:sz w:val="30"/>
          <w:szCs w:val="30"/>
        </w:rPr>
        <w:t>Elliott and Connolly Benchmark</w:t>
      </w:r>
    </w:p>
    <w:p w14:paraId="168B0F22" w14:textId="77777777" w:rsidR="00A54B46" w:rsidRPr="005B0BE6" w:rsidRDefault="009D774B">
      <w:pPr>
        <w:rPr>
          <w:sz w:val="22"/>
          <w:szCs w:val="22"/>
        </w:rPr>
      </w:pPr>
      <w:r w:rsidRPr="005B0BE6">
        <w:t xml:space="preserve"> </w:t>
      </w: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4"/>
        <w:gridCol w:w="6372"/>
      </w:tblGrid>
      <w:tr w:rsidR="00A54B46" w:rsidRPr="00FB12F0" w14:paraId="3CEEC396" w14:textId="77777777">
        <w:trPr>
          <w:trHeight w:val="40"/>
        </w:trPr>
        <w:tc>
          <w:tcPr>
            <w:tcW w:w="2484" w:type="dxa"/>
            <w:tcBorders>
              <w:top w:val="single" w:sz="4" w:space="0" w:color="000000"/>
              <w:left w:val="single" w:sz="4" w:space="0" w:color="000000"/>
              <w:bottom w:val="nil"/>
              <w:right w:val="single" w:sz="4" w:space="0" w:color="000000"/>
            </w:tcBorders>
            <w:vAlign w:val="center"/>
          </w:tcPr>
          <w:p w14:paraId="6FD054A1" w14:textId="77777777" w:rsidR="00A54B46" w:rsidRPr="00FB12F0" w:rsidRDefault="009D774B">
            <w:r w:rsidRPr="00FB12F0">
              <w:t>Reference No / Version</w:t>
            </w:r>
          </w:p>
        </w:tc>
        <w:tc>
          <w:tcPr>
            <w:tcW w:w="6372" w:type="dxa"/>
            <w:tcBorders>
              <w:top w:val="single" w:sz="4" w:space="0" w:color="000000"/>
              <w:left w:val="single" w:sz="4" w:space="0" w:color="000000"/>
              <w:bottom w:val="single" w:sz="4" w:space="0" w:color="000000"/>
              <w:right w:val="single" w:sz="4" w:space="0" w:color="000000"/>
            </w:tcBorders>
          </w:tcPr>
          <w:p w14:paraId="264B970E" w14:textId="38A7D2A0" w:rsidR="00A54B46" w:rsidRPr="00FB12F0" w:rsidRDefault="00B30083">
            <w:r>
              <w:t>1.0</w:t>
            </w:r>
          </w:p>
        </w:tc>
      </w:tr>
      <w:tr w:rsidR="005D7237" w:rsidRPr="00FB12F0" w14:paraId="26EC2D40" w14:textId="77777777">
        <w:tc>
          <w:tcPr>
            <w:tcW w:w="2484" w:type="dxa"/>
            <w:tcBorders>
              <w:top w:val="nil"/>
              <w:left w:val="single" w:sz="4" w:space="0" w:color="000000"/>
              <w:bottom w:val="nil"/>
              <w:right w:val="single" w:sz="4" w:space="0" w:color="000000"/>
            </w:tcBorders>
            <w:vAlign w:val="center"/>
          </w:tcPr>
          <w:p w14:paraId="2ED2209E" w14:textId="77777777" w:rsidR="005D7237" w:rsidRPr="00FB12F0" w:rsidRDefault="005D7237" w:rsidP="005D7237">
            <w:r w:rsidRPr="00FB12F0">
              <w:t xml:space="preserve">Authors </w:t>
            </w:r>
          </w:p>
        </w:tc>
        <w:tc>
          <w:tcPr>
            <w:tcW w:w="6372" w:type="dxa"/>
            <w:tcBorders>
              <w:top w:val="single" w:sz="4" w:space="0" w:color="000000"/>
              <w:left w:val="single" w:sz="4" w:space="0" w:color="000000"/>
              <w:bottom w:val="single" w:sz="4" w:space="0" w:color="000000"/>
              <w:right w:val="single" w:sz="4" w:space="0" w:color="000000"/>
            </w:tcBorders>
          </w:tcPr>
          <w:p w14:paraId="4E3A200B" w14:textId="5579F815" w:rsidR="005D7237" w:rsidRPr="00B30083" w:rsidRDefault="005D7237" w:rsidP="005D7237">
            <w:r w:rsidRPr="00FB12F0">
              <w:t>Ryan Coulson, Chao Li, Carmel Majidi</w:t>
            </w:r>
            <w:r w:rsidR="00B30083">
              <w:t xml:space="preserve">, </w:t>
            </w:r>
            <w:r w:rsidR="00B30083" w:rsidRPr="00FB12F0">
              <w:t>Nancy Pollard</w:t>
            </w:r>
          </w:p>
        </w:tc>
      </w:tr>
      <w:tr w:rsidR="005D7237" w:rsidRPr="00FB12F0" w14:paraId="25671F14" w14:textId="77777777">
        <w:tc>
          <w:tcPr>
            <w:tcW w:w="2484" w:type="dxa"/>
            <w:tcBorders>
              <w:top w:val="nil"/>
              <w:left w:val="single" w:sz="4" w:space="0" w:color="000000"/>
              <w:bottom w:val="nil"/>
              <w:right w:val="single" w:sz="4" w:space="0" w:color="000000"/>
            </w:tcBorders>
            <w:vAlign w:val="center"/>
          </w:tcPr>
          <w:p w14:paraId="4D90AF44" w14:textId="77777777" w:rsidR="005D7237" w:rsidRPr="00FB12F0" w:rsidRDefault="005D7237" w:rsidP="005D7237">
            <w:r w:rsidRPr="00FB12F0">
              <w:t xml:space="preserve">Institution </w:t>
            </w:r>
          </w:p>
        </w:tc>
        <w:tc>
          <w:tcPr>
            <w:tcW w:w="6372" w:type="dxa"/>
            <w:tcBorders>
              <w:top w:val="single" w:sz="4" w:space="0" w:color="000000"/>
              <w:left w:val="single" w:sz="4" w:space="0" w:color="000000"/>
              <w:bottom w:val="single" w:sz="4" w:space="0" w:color="000000"/>
              <w:right w:val="single" w:sz="4" w:space="0" w:color="000000"/>
            </w:tcBorders>
          </w:tcPr>
          <w:p w14:paraId="42A09453" w14:textId="31C2F8FD" w:rsidR="005D7237" w:rsidRPr="00B30083" w:rsidRDefault="00BF0B2F" w:rsidP="005D7237">
            <w:r>
              <w:t>Carnegie Mellon University</w:t>
            </w:r>
          </w:p>
        </w:tc>
      </w:tr>
      <w:tr w:rsidR="005D7237" w:rsidRPr="00FB12F0" w14:paraId="74705FCA" w14:textId="77777777">
        <w:tc>
          <w:tcPr>
            <w:tcW w:w="2484" w:type="dxa"/>
            <w:tcBorders>
              <w:top w:val="nil"/>
              <w:left w:val="single" w:sz="4" w:space="0" w:color="000000"/>
              <w:bottom w:val="single" w:sz="4" w:space="0" w:color="000000"/>
              <w:right w:val="single" w:sz="4" w:space="0" w:color="000000"/>
            </w:tcBorders>
            <w:vAlign w:val="center"/>
          </w:tcPr>
          <w:p w14:paraId="001FFD77" w14:textId="77777777" w:rsidR="005D7237" w:rsidRPr="00FB12F0" w:rsidRDefault="005D7237" w:rsidP="005D7237">
            <w:r w:rsidRPr="00FB12F0">
              <w:t>Contact information</w:t>
            </w:r>
          </w:p>
        </w:tc>
        <w:tc>
          <w:tcPr>
            <w:tcW w:w="6372" w:type="dxa"/>
            <w:tcBorders>
              <w:top w:val="single" w:sz="4" w:space="0" w:color="000000"/>
              <w:left w:val="single" w:sz="4" w:space="0" w:color="000000"/>
              <w:bottom w:val="single" w:sz="4" w:space="0" w:color="000000"/>
              <w:right w:val="single" w:sz="4" w:space="0" w:color="000000"/>
            </w:tcBorders>
          </w:tcPr>
          <w:p w14:paraId="664B5E5F" w14:textId="2F61430C" w:rsidR="005D7237" w:rsidRPr="00FB12F0" w:rsidRDefault="00173A24" w:rsidP="005D7237">
            <w:r>
              <w:t>ryanlcoulson@gmail.com</w:t>
            </w:r>
          </w:p>
        </w:tc>
      </w:tr>
      <w:tr w:rsidR="005D7237" w:rsidRPr="00FB12F0" w14:paraId="0E853426" w14:textId="77777777" w:rsidTr="000D10F3">
        <w:trPr>
          <w:trHeight w:val="69"/>
        </w:trPr>
        <w:tc>
          <w:tcPr>
            <w:tcW w:w="2484" w:type="dxa"/>
            <w:tcBorders>
              <w:top w:val="single" w:sz="4" w:space="0" w:color="000000"/>
              <w:left w:val="single" w:sz="4" w:space="0" w:color="000000"/>
              <w:bottom w:val="single" w:sz="4" w:space="0" w:color="000000"/>
              <w:right w:val="single" w:sz="4" w:space="0" w:color="000000"/>
            </w:tcBorders>
          </w:tcPr>
          <w:p w14:paraId="1617CB96" w14:textId="77777777" w:rsidR="005D7237" w:rsidRPr="00FB12F0" w:rsidRDefault="005D7237" w:rsidP="005D7237">
            <w:r w:rsidRPr="00FB12F0">
              <w:t>Adopted Protocol</w:t>
            </w:r>
          </w:p>
        </w:tc>
        <w:tc>
          <w:tcPr>
            <w:tcW w:w="6372" w:type="dxa"/>
            <w:tcBorders>
              <w:top w:val="single" w:sz="4" w:space="0" w:color="000000"/>
              <w:left w:val="single" w:sz="4" w:space="0" w:color="000000"/>
              <w:bottom w:val="single" w:sz="4" w:space="0" w:color="000000"/>
              <w:right w:val="single" w:sz="4" w:space="0" w:color="000000"/>
            </w:tcBorders>
          </w:tcPr>
          <w:p w14:paraId="29E9EF11" w14:textId="58AD863B" w:rsidR="005D7237" w:rsidRPr="00FB12F0" w:rsidRDefault="00B30083" w:rsidP="005D7237">
            <w:r>
              <w:t>Elliott and Connolly</w:t>
            </w:r>
            <w:r w:rsidR="00274805">
              <w:t xml:space="preserve"> Benchmark</w:t>
            </w:r>
            <w:r>
              <w:t xml:space="preserve"> Protocol</w:t>
            </w:r>
          </w:p>
        </w:tc>
      </w:tr>
      <w:tr w:rsidR="00714CB5" w:rsidRPr="00FB12F0" w14:paraId="0B3E1B81" w14:textId="77777777" w:rsidTr="008E6CAE">
        <w:trPr>
          <w:trHeight w:val="69"/>
        </w:trPr>
        <w:tc>
          <w:tcPr>
            <w:tcW w:w="2484" w:type="dxa"/>
            <w:tcBorders>
              <w:top w:val="single" w:sz="4" w:space="0" w:color="000000"/>
              <w:left w:val="single" w:sz="4" w:space="0" w:color="000000"/>
              <w:bottom w:val="single" w:sz="4" w:space="0" w:color="000000"/>
              <w:right w:val="single" w:sz="4" w:space="0" w:color="000000"/>
            </w:tcBorders>
          </w:tcPr>
          <w:p w14:paraId="272E4888" w14:textId="77777777" w:rsidR="00714CB5" w:rsidRPr="00FB12F0" w:rsidRDefault="00714CB5" w:rsidP="00714CB5">
            <w:r w:rsidRPr="00FB12F0">
              <w:t>Scoring</w:t>
            </w:r>
          </w:p>
        </w:tc>
        <w:tc>
          <w:tcPr>
            <w:tcW w:w="6372" w:type="dxa"/>
            <w:tcBorders>
              <w:top w:val="single" w:sz="4" w:space="0" w:color="000000"/>
              <w:left w:val="single" w:sz="4" w:space="0" w:color="000000"/>
              <w:bottom w:val="single" w:sz="4" w:space="0" w:color="000000"/>
              <w:right w:val="single" w:sz="4" w:space="0" w:color="000000"/>
            </w:tcBorders>
          </w:tcPr>
          <w:p w14:paraId="247BC42B" w14:textId="77777777" w:rsidR="008C5D80" w:rsidRDefault="00B30083" w:rsidP="00714CB5">
            <w:r>
              <w:t>This benchmark includes both qualitative and quantitative scoring metrics.</w:t>
            </w:r>
          </w:p>
          <w:p w14:paraId="09586646" w14:textId="77777777" w:rsidR="00B30083" w:rsidRDefault="00B30083" w:rsidP="00714CB5"/>
          <w:p w14:paraId="4EDBA213" w14:textId="4155EB5E" w:rsidR="00B30083" w:rsidRDefault="00B30083" w:rsidP="00714CB5">
            <w:r>
              <w:t xml:space="preserve">The primary qualitative metric is </w:t>
            </w:r>
            <w:r w:rsidRPr="00B30083">
              <w:rPr>
                <w:i/>
                <w:iCs/>
              </w:rPr>
              <w:t>Success</w:t>
            </w:r>
            <w:r>
              <w:t xml:space="preserve"> or </w:t>
            </w:r>
            <w:r w:rsidRPr="00B30083">
              <w:rPr>
                <w:i/>
                <w:iCs/>
              </w:rPr>
              <w:t>Failure</w:t>
            </w:r>
            <w:r>
              <w:t>, which is assessed for each manipulation pattern. In order to evaluate this metric, a list of criteria for each manipulation pattern has been provided. Additionally, experimenters can refer to videos of a human hand performing the corresponding pattern</w:t>
            </w:r>
            <w:r w:rsidR="009360E1">
              <w:t xml:space="preserve"> when determining whether a manipulation pattern has been performed successfully.</w:t>
            </w:r>
          </w:p>
          <w:p w14:paraId="353810F8" w14:textId="77777777" w:rsidR="00B30083" w:rsidRDefault="00B30083" w:rsidP="00714CB5"/>
          <w:p w14:paraId="21952D52" w14:textId="7223B43A" w:rsidR="00B30083" w:rsidRDefault="00B30083" w:rsidP="00714CB5">
            <w:r w:rsidRPr="00B30083">
              <w:t>In addition to this binary designation, failed manipulation patterns can also be labeled as</w:t>
            </w:r>
            <w:r>
              <w:t xml:space="preserve"> </w:t>
            </w:r>
            <w:r w:rsidRPr="00B30083">
              <w:rPr>
                <w:i/>
                <w:iCs/>
              </w:rPr>
              <w:t>Incomplete</w:t>
            </w:r>
            <w:r>
              <w:t xml:space="preserve">, </w:t>
            </w:r>
            <w:r w:rsidRPr="00B30083">
              <w:t xml:space="preserve">and successful patterns can be labeled as </w:t>
            </w:r>
            <w:r w:rsidRPr="00B30083">
              <w:rPr>
                <w:i/>
                <w:iCs/>
              </w:rPr>
              <w:t>Non-anthropomorphic</w:t>
            </w:r>
            <w:r>
              <w:t>.</w:t>
            </w:r>
            <w:r w:rsidRPr="00B30083">
              <w:t xml:space="preserve"> The only manipulation patterns which are eligible to be labeled as incomplete are Rotary Step and Interdigital Step. This is due to the fact that each of these patterns requires a certain amount of rotation </w:t>
            </w:r>
            <w:r>
              <w:t>(360 degrees</w:t>
            </w:r>
            <w:r w:rsidR="0063283B">
              <w:t>,</w:t>
            </w:r>
            <w:r w:rsidRPr="00B30083">
              <w:t xml:space="preserve"> per the </w:t>
            </w:r>
            <w:r>
              <w:t>provided criteria</w:t>
            </w:r>
            <w:r w:rsidR="0063283B">
              <w:t>)</w:t>
            </w:r>
            <w:r>
              <w:t xml:space="preserve"> i</w:t>
            </w:r>
            <w:r w:rsidRPr="00B30083">
              <w:t xml:space="preserve">n order to be evaluated as successful, meaning it is possible to achieve partial completion by rotating the object less than </w:t>
            </w:r>
            <w:r>
              <w:t>360 degrees.</w:t>
            </w:r>
            <w:r w:rsidRPr="00B30083">
              <w:t xml:space="preserve"> A successful manipulation pattern is labeled as </w:t>
            </w:r>
            <w:r w:rsidRPr="00B30083">
              <w:rPr>
                <w:i/>
                <w:iCs/>
              </w:rPr>
              <w:t xml:space="preserve">Non-anthrophorphic </w:t>
            </w:r>
            <w:r w:rsidRPr="00B30083">
              <w:t>if the object is rotated or translated along the correct axis, but in a manner that is dissimilar to human baseline examples.</w:t>
            </w:r>
          </w:p>
          <w:p w14:paraId="40B84AD6" w14:textId="77777777" w:rsidR="00B30083" w:rsidRDefault="00B30083" w:rsidP="00714CB5"/>
          <w:p w14:paraId="24249301" w14:textId="77777777" w:rsidR="00B30083" w:rsidRDefault="0063283B" w:rsidP="00714CB5">
            <w:r>
              <w:t xml:space="preserve">Quantitative scoring metrics for this benchmark are </w:t>
            </w:r>
            <w:r w:rsidRPr="0063283B">
              <w:rPr>
                <w:i/>
                <w:iCs/>
              </w:rPr>
              <w:t xml:space="preserve">Normalized Average Translation </w:t>
            </w:r>
            <w:r>
              <w:t xml:space="preserve">and </w:t>
            </w:r>
            <w:r w:rsidRPr="0063283B">
              <w:rPr>
                <w:i/>
                <w:iCs/>
              </w:rPr>
              <w:t>Average Rotation</w:t>
            </w:r>
            <w:r>
              <w:t>.</w:t>
            </w:r>
          </w:p>
          <w:p w14:paraId="6796AF65" w14:textId="77777777" w:rsidR="0063283B" w:rsidRDefault="0063283B" w:rsidP="00714CB5"/>
          <w:p w14:paraId="5EEAB586" w14:textId="77777777" w:rsidR="0063283B" w:rsidRDefault="0063283B" w:rsidP="00714CB5">
            <w:r w:rsidRPr="0063283B">
              <w:rPr>
                <w:i/>
                <w:iCs/>
              </w:rPr>
              <w:t>Normalized Average Translation</w:t>
            </w:r>
            <w:r w:rsidRPr="0063283B">
              <w:t xml:space="preserve"> is defined as the distance an object is translated along a particular hand coordinate axis, normalized by the average finger length of the hand and averaged over </w:t>
            </w:r>
            <w:r w:rsidRPr="0063283B">
              <w:rPr>
                <w:i/>
                <w:iCs/>
              </w:rPr>
              <w:t>N</w:t>
            </w:r>
            <w:r w:rsidRPr="0063283B">
              <w:t xml:space="preserve"> trials.</w:t>
            </w:r>
            <w:r>
              <w:t xml:space="preserve"> </w:t>
            </w:r>
            <w:r w:rsidRPr="0063283B">
              <w:t>Average finger length is defined as the average distance between the fingertips and the center of the hand. The center of the hand is defined as the point of intersection on the palm by lines extended from the fingertips.</w:t>
            </w:r>
            <w:r>
              <w:t xml:space="preserve"> </w:t>
            </w:r>
            <w:r w:rsidRPr="0063283B">
              <w:rPr>
                <w:i/>
                <w:iCs/>
              </w:rPr>
              <w:t>Normalized Average Translation</w:t>
            </w:r>
            <w:r w:rsidRPr="0063283B">
              <w:t xml:space="preserve"> can be calculated using the following equation:</w:t>
            </w:r>
          </w:p>
          <w:p w14:paraId="32CA2DB0" w14:textId="77777777" w:rsidR="0063283B" w:rsidRDefault="0063283B" w:rsidP="00714CB5"/>
          <w:p w14:paraId="12DB7F5D" w14:textId="4336E262" w:rsidR="0063283B" w:rsidRDefault="0063283B" w:rsidP="0063283B">
            <w:pPr>
              <w:jc w:val="center"/>
            </w:pPr>
            <m:oMath>
              <m:r>
                <w:rPr>
                  <w:rFonts w:ascii="Cambria Math" w:hAnsi="Cambria Math"/>
                  <w:sz w:val="28"/>
                  <w:szCs w:val="28"/>
                </w:rPr>
                <m:t>T=</m:t>
              </m:r>
              <m:f>
                <m:fPr>
                  <m:ctrlPr>
                    <w:rPr>
                      <w:rFonts w:ascii="Cambria Math" w:hAnsi="Cambria Math"/>
                      <w:i/>
                      <w:sz w:val="28"/>
                      <w:szCs w:val="28"/>
                    </w:rPr>
                  </m:ctrlPr>
                </m:fPr>
                <m:num>
                  <m:nary>
                    <m:naryPr>
                      <m:chr m:val="∑"/>
                      <m:limLoc m:val="subSup"/>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nary>
                </m:num>
                <m:den>
                  <m:r>
                    <w:rPr>
                      <w:rFonts w:ascii="Cambria Math" w:hAnsi="Cambria Math"/>
                      <w:sz w:val="28"/>
                      <w:szCs w:val="28"/>
                    </w:rPr>
                    <m:t>N*F</m:t>
                  </m:r>
                </m:den>
              </m:f>
            </m:oMath>
            <w:r>
              <w:t>,</w:t>
            </w:r>
          </w:p>
          <w:p w14:paraId="2B978F23" w14:textId="705AFAC4" w:rsidR="0063283B" w:rsidRDefault="0063283B" w:rsidP="0063283B">
            <w:pPr>
              <w:jc w:val="center"/>
            </w:pPr>
          </w:p>
          <w:p w14:paraId="69260CF6" w14:textId="77777777" w:rsidR="0063283B" w:rsidRDefault="0063283B" w:rsidP="0063283B">
            <w:r w:rsidRPr="0063283B">
              <w:t xml:space="preserve">where </w:t>
            </w:r>
            <w:r w:rsidRPr="0063283B">
              <w:rPr>
                <w:i/>
                <w:iCs/>
              </w:rPr>
              <w:t>N</w:t>
            </w:r>
            <w:r w:rsidRPr="0063283B">
              <w:t xml:space="preserve"> is the number of trials, </w:t>
            </w:r>
            <m:oMath>
              <m:sSub>
                <m:sSubPr>
                  <m:ctrlPr>
                    <w:rPr>
                      <w:rFonts w:ascii="Cambria Math" w:hAnsi="Cambria Math"/>
                      <w:i/>
                    </w:rPr>
                  </m:ctrlPr>
                </m:sSubPr>
                <m:e>
                  <m:r>
                    <w:rPr>
                      <w:rFonts w:ascii="Cambria Math" w:hAnsi="Cambria Math"/>
                    </w:rPr>
                    <m:t>d</m:t>
                  </m:r>
                </m:e>
                <m:sub>
                  <m:r>
                    <w:rPr>
                      <w:rFonts w:ascii="Cambria Math" w:hAnsi="Cambria Math"/>
                    </w:rPr>
                    <m:t>i</m:t>
                  </m:r>
                </m:sub>
              </m:sSub>
            </m:oMath>
            <w:r w:rsidRPr="0063283B">
              <w:t xml:space="preserve"> is the translation distance for an individual trial, and </w:t>
            </w:r>
            <w:r w:rsidRPr="0063283B">
              <w:rPr>
                <w:i/>
                <w:iCs/>
              </w:rPr>
              <w:t>F</w:t>
            </w:r>
            <w:r w:rsidRPr="0063283B">
              <w:t xml:space="preserve"> is the average finger length of the hand. </w:t>
            </w:r>
          </w:p>
          <w:p w14:paraId="7A9EA0AB" w14:textId="77777777" w:rsidR="0063283B" w:rsidRDefault="0063283B" w:rsidP="0063283B"/>
          <w:p w14:paraId="3CAC9332" w14:textId="77777777" w:rsidR="0063283B" w:rsidRDefault="0063283B" w:rsidP="0063283B">
            <w:r w:rsidRPr="0063283B">
              <w:rPr>
                <w:i/>
                <w:iCs/>
              </w:rPr>
              <w:t>Average Rotation</w:t>
            </w:r>
            <w:r w:rsidRPr="0063283B">
              <w:t xml:space="preserve"> is defined as the degree to which an object is rotated about a particular hand coordinate axis, averaged over </w:t>
            </w:r>
            <w:r w:rsidRPr="0063283B">
              <w:rPr>
                <w:i/>
                <w:iCs/>
              </w:rPr>
              <w:t>N</w:t>
            </w:r>
            <w:r w:rsidRPr="0063283B">
              <w:t xml:space="preserve"> trials. </w:t>
            </w:r>
            <w:r w:rsidRPr="0063283B">
              <w:rPr>
                <w:i/>
                <w:iCs/>
              </w:rPr>
              <w:t>Average Rotation</w:t>
            </w:r>
            <w:r w:rsidRPr="0063283B">
              <w:t xml:space="preserve"> can be calculated using the following </w:t>
            </w:r>
            <w:r w:rsidRPr="0063283B">
              <w:lastRenderedPageBreak/>
              <w:t>equation:</w:t>
            </w:r>
          </w:p>
          <w:p w14:paraId="3147C6DD" w14:textId="77777777" w:rsidR="0063283B" w:rsidRDefault="0063283B" w:rsidP="0063283B"/>
          <w:p w14:paraId="32770170" w14:textId="77777777" w:rsidR="0063283B" w:rsidRPr="00170876" w:rsidRDefault="0063283B" w:rsidP="0063283B">
            <w:pPr>
              <w:rPr>
                <w:sz w:val="24"/>
                <w:szCs w:val="24"/>
              </w:rPr>
            </w:pPr>
            <m:oMathPara>
              <m:oMath>
                <m:r>
                  <w:rPr>
                    <w:rFonts w:ascii="Cambria Math" w:hAnsi="Cambria Math"/>
                    <w:sz w:val="24"/>
                    <w:szCs w:val="24"/>
                  </w:rPr>
                  <m:t>R=</m:t>
                </m:r>
                <m:f>
                  <m:fPr>
                    <m:ctrlPr>
                      <w:rPr>
                        <w:rFonts w:ascii="Cambria Math" w:hAnsi="Cambria Math"/>
                        <w:i/>
                        <w:sz w:val="24"/>
                        <w:szCs w:val="24"/>
                      </w:rPr>
                    </m:ctrlPr>
                  </m:fPr>
                  <m:num>
                    <m:nary>
                      <m:naryPr>
                        <m:chr m:val="∑"/>
                        <m:limLoc m:val="subSup"/>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i</m:t>
                            </m:r>
                          </m:sub>
                        </m:sSub>
                      </m:e>
                    </m:nary>
                  </m:num>
                  <m:den>
                    <m:r>
                      <w:rPr>
                        <w:rFonts w:ascii="Cambria Math" w:hAnsi="Cambria Math"/>
                        <w:sz w:val="24"/>
                        <w:szCs w:val="24"/>
                      </w:rPr>
                      <m:t>N</m:t>
                    </m:r>
                  </m:den>
                </m:f>
                <m:r>
                  <w:rPr>
                    <w:rFonts w:ascii="Cambria Math" w:hAnsi="Cambria Math"/>
                    <w:sz w:val="24"/>
                    <w:szCs w:val="24"/>
                  </w:rPr>
                  <m:t>,</m:t>
                </m:r>
              </m:oMath>
            </m:oMathPara>
          </w:p>
          <w:p w14:paraId="30A36521" w14:textId="77777777" w:rsidR="0063283B" w:rsidRDefault="0063283B" w:rsidP="0063283B"/>
          <w:p w14:paraId="3B37D5B6" w14:textId="77777777" w:rsidR="0063283B" w:rsidRDefault="0063283B" w:rsidP="0063283B">
            <w:r>
              <w:t xml:space="preserve">where N is the number of trials and </w:t>
            </w:r>
            <m:oMath>
              <m:sSub>
                <m:sSubPr>
                  <m:ctrlPr>
                    <w:rPr>
                      <w:rFonts w:ascii="Cambria Math" w:hAnsi="Cambria Math"/>
                      <w:i/>
                    </w:rPr>
                  </m:ctrlPr>
                </m:sSubPr>
                <m:e>
                  <m:r>
                    <w:rPr>
                      <w:rFonts w:ascii="Cambria Math" w:hAnsi="Cambria Math"/>
                    </w:rPr>
                    <m:t>ω</m:t>
                  </m:r>
                </m:e>
                <m:sub>
                  <m:r>
                    <w:rPr>
                      <w:rFonts w:ascii="Cambria Math" w:hAnsi="Cambria Math"/>
                    </w:rPr>
                    <m:t>i</m:t>
                  </m:r>
                </m:sub>
              </m:sSub>
            </m:oMath>
            <w:r>
              <w:rPr>
                <w:sz w:val="28"/>
                <w:szCs w:val="28"/>
              </w:rPr>
              <w:t xml:space="preserve"> </w:t>
            </w:r>
            <w:r w:rsidRPr="0063283B">
              <w:t>is the degree of rotation for an individual trial.</w:t>
            </w:r>
          </w:p>
          <w:p w14:paraId="0CB2E87E" w14:textId="77777777" w:rsidR="0063283B" w:rsidRDefault="0063283B" w:rsidP="0063283B"/>
          <w:p w14:paraId="52B578E2" w14:textId="77777777" w:rsidR="0063283B" w:rsidRDefault="0063283B" w:rsidP="0063283B">
            <w:r w:rsidRPr="0063283B">
              <w:t xml:space="preserve">Additionally, we define performance scores, which are used to compare the performance of the robot hand to the performance of a human hand. The </w:t>
            </w:r>
            <w:r w:rsidRPr="0063283B">
              <w:rPr>
                <w:i/>
                <w:iCs/>
              </w:rPr>
              <w:t>Translation Performance Score</w:t>
            </w:r>
            <w:r w:rsidRPr="0063283B">
              <w:t xml:space="preserve"> for a particular manipulation pattern </w:t>
            </w:r>
            <w:r w:rsidR="00170876" w:rsidRPr="00170876">
              <w:rPr>
                <w:i/>
                <w:iCs/>
              </w:rPr>
              <w:t>m</w:t>
            </w:r>
            <w:r w:rsidR="00170876">
              <w:t xml:space="preserve"> </w:t>
            </w:r>
            <w:r w:rsidRPr="0063283B">
              <w:t>can be calculated as follows:</w:t>
            </w:r>
          </w:p>
          <w:p w14:paraId="5CA8BF3F" w14:textId="77777777" w:rsidR="00170876" w:rsidRDefault="00170876" w:rsidP="0063283B"/>
          <w:p w14:paraId="479957A2" w14:textId="00DD8EF1" w:rsidR="00170876" w:rsidRPr="00170876" w:rsidRDefault="00000000" w:rsidP="00170876">
            <w:pPr>
              <w:jc w:val="center"/>
            </w:pPr>
            <m:oMathPara>
              <m:oMath>
                <m:sSubSup>
                  <m:sSubSupPr>
                    <m:ctrlPr>
                      <w:rPr>
                        <w:rFonts w:ascii="Cambria Math" w:hAnsi="Cambria Math"/>
                        <w:i/>
                      </w:rPr>
                    </m:ctrlPr>
                  </m:sSubSupPr>
                  <m:e>
                    <m:r>
                      <w:rPr>
                        <w:rFonts w:ascii="Cambria Math" w:hAnsi="Cambria Math"/>
                      </w:rPr>
                      <m:t>P</m:t>
                    </m:r>
                  </m:e>
                  <m:sub>
                    <m:r>
                      <w:rPr>
                        <w:rFonts w:ascii="Cambria Math" w:hAnsi="Cambria Math"/>
                      </w:rPr>
                      <m:t>m</m:t>
                    </m:r>
                  </m:sub>
                  <m:sup>
                    <m:r>
                      <w:rPr>
                        <w:rFonts w:ascii="Cambria Math" w:hAnsi="Cambria Math"/>
                      </w:rPr>
                      <m:t>T</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R</m:t>
                        </m:r>
                      </m:e>
                      <m:sub>
                        <m:r>
                          <w:rPr>
                            <w:rFonts w:ascii="Cambria Math" w:hAnsi="Cambria Math"/>
                          </w:rPr>
                          <m:t>m</m:t>
                        </m:r>
                      </m:sub>
                      <m:sup>
                        <m:r>
                          <w:rPr>
                            <w:rFonts w:ascii="Cambria Math" w:hAnsi="Cambria Math"/>
                          </w:rPr>
                          <m:t>robot</m:t>
                        </m:r>
                      </m:sup>
                    </m:sSubSup>
                  </m:num>
                  <m:den>
                    <m:sSubSup>
                      <m:sSubSupPr>
                        <m:ctrlPr>
                          <w:rPr>
                            <w:rFonts w:ascii="Cambria Math" w:hAnsi="Cambria Math"/>
                            <w:i/>
                          </w:rPr>
                        </m:ctrlPr>
                      </m:sSubSupPr>
                      <m:e>
                        <m:r>
                          <w:rPr>
                            <w:rFonts w:ascii="Cambria Math" w:hAnsi="Cambria Math"/>
                          </w:rPr>
                          <m:t>R</m:t>
                        </m:r>
                      </m:e>
                      <m:sub>
                        <m:r>
                          <w:rPr>
                            <w:rFonts w:ascii="Cambria Math" w:hAnsi="Cambria Math"/>
                          </w:rPr>
                          <m:t>m</m:t>
                        </m:r>
                      </m:sub>
                      <m:sup>
                        <m:r>
                          <w:rPr>
                            <w:rFonts w:ascii="Cambria Math" w:hAnsi="Cambria Math"/>
                          </w:rPr>
                          <m:t>human</m:t>
                        </m:r>
                      </m:sup>
                    </m:sSubSup>
                  </m:den>
                </m:f>
                <m:r>
                  <w:rPr>
                    <w:rFonts w:ascii="Cambria Math" w:hAnsi="Cambria Math"/>
                  </w:rPr>
                  <m:t>×100</m:t>
                </m:r>
              </m:oMath>
            </m:oMathPara>
          </w:p>
          <w:p w14:paraId="4DB9E15B" w14:textId="77777777" w:rsidR="00170876" w:rsidRDefault="00170876" w:rsidP="00170876">
            <w:pPr>
              <w:jc w:val="center"/>
            </w:pPr>
          </w:p>
          <w:p w14:paraId="6F2ADB3F" w14:textId="77777777" w:rsidR="00170876" w:rsidRDefault="00170876" w:rsidP="00170876">
            <w:r>
              <w:t xml:space="preserve">Likewise, </w:t>
            </w:r>
            <w:r w:rsidRPr="00170876">
              <w:rPr>
                <w:i/>
                <w:iCs/>
              </w:rPr>
              <w:t>Rotation Performance Score</w:t>
            </w:r>
            <w:r>
              <w:t xml:space="preserve"> can be calculated as:</w:t>
            </w:r>
          </w:p>
          <w:p w14:paraId="16557B12" w14:textId="77777777" w:rsidR="00170876" w:rsidRDefault="00170876" w:rsidP="00170876"/>
          <w:p w14:paraId="4A6B5A91" w14:textId="77777777" w:rsidR="00170876" w:rsidRPr="00170876" w:rsidRDefault="00000000" w:rsidP="00170876">
            <w:pPr>
              <w:jc w:val="center"/>
            </w:pPr>
            <m:oMathPara>
              <m:oMath>
                <m:sSubSup>
                  <m:sSubSupPr>
                    <m:ctrlPr>
                      <w:rPr>
                        <w:rFonts w:ascii="Cambria Math" w:hAnsi="Cambria Math"/>
                        <w:i/>
                      </w:rPr>
                    </m:ctrlPr>
                  </m:sSubSupPr>
                  <m:e>
                    <m:r>
                      <w:rPr>
                        <w:rFonts w:ascii="Cambria Math" w:hAnsi="Cambria Math"/>
                      </w:rPr>
                      <m:t>P</m:t>
                    </m:r>
                  </m:e>
                  <m:sub>
                    <m:r>
                      <w:rPr>
                        <w:rFonts w:ascii="Cambria Math" w:hAnsi="Cambria Math"/>
                      </w:rPr>
                      <m:t>m</m:t>
                    </m:r>
                  </m:sub>
                  <m:sup>
                    <m:r>
                      <w:rPr>
                        <w:rFonts w:ascii="Cambria Math" w:hAnsi="Cambria Math"/>
                      </w:rPr>
                      <m:t>R</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R</m:t>
                        </m:r>
                      </m:e>
                      <m:sub>
                        <m:r>
                          <w:rPr>
                            <w:rFonts w:ascii="Cambria Math" w:hAnsi="Cambria Math"/>
                          </w:rPr>
                          <m:t>m</m:t>
                        </m:r>
                      </m:sub>
                      <m:sup>
                        <m:r>
                          <w:rPr>
                            <w:rFonts w:ascii="Cambria Math" w:hAnsi="Cambria Math"/>
                          </w:rPr>
                          <m:t>robot</m:t>
                        </m:r>
                      </m:sup>
                    </m:sSubSup>
                  </m:num>
                  <m:den>
                    <m:sSubSup>
                      <m:sSubSupPr>
                        <m:ctrlPr>
                          <w:rPr>
                            <w:rFonts w:ascii="Cambria Math" w:hAnsi="Cambria Math"/>
                            <w:i/>
                          </w:rPr>
                        </m:ctrlPr>
                      </m:sSubSupPr>
                      <m:e>
                        <m:r>
                          <w:rPr>
                            <w:rFonts w:ascii="Cambria Math" w:hAnsi="Cambria Math"/>
                          </w:rPr>
                          <m:t>R</m:t>
                        </m:r>
                      </m:e>
                      <m:sub>
                        <m:r>
                          <w:rPr>
                            <w:rFonts w:ascii="Cambria Math" w:hAnsi="Cambria Math"/>
                          </w:rPr>
                          <m:t>m</m:t>
                        </m:r>
                      </m:sub>
                      <m:sup>
                        <m:r>
                          <w:rPr>
                            <w:rFonts w:ascii="Cambria Math" w:hAnsi="Cambria Math"/>
                          </w:rPr>
                          <m:t>human</m:t>
                        </m:r>
                      </m:sup>
                    </m:sSubSup>
                  </m:den>
                </m:f>
                <m:r>
                  <w:rPr>
                    <w:rFonts w:ascii="Cambria Math" w:hAnsi="Cambria Math"/>
                  </w:rPr>
                  <m:t>×100</m:t>
                </m:r>
              </m:oMath>
            </m:oMathPara>
          </w:p>
          <w:p w14:paraId="716664F7" w14:textId="77777777" w:rsidR="00170876" w:rsidRDefault="00170876" w:rsidP="00170876">
            <w:pPr>
              <w:jc w:val="center"/>
            </w:pPr>
          </w:p>
          <w:p w14:paraId="35A1621F" w14:textId="216BB299" w:rsidR="00170876" w:rsidRPr="0063283B" w:rsidRDefault="00170876" w:rsidP="00170876">
            <w:r w:rsidRPr="00170876">
              <w:t>Thus, the performance score for a particular manipulation pattern indicates the percentage of translation or rotation achieved by the robot, as compared to the human baseline.</w:t>
            </w:r>
          </w:p>
        </w:tc>
      </w:tr>
      <w:tr w:rsidR="00714CB5" w:rsidRPr="00FB12F0" w14:paraId="63F80F98" w14:textId="77777777">
        <w:trPr>
          <w:trHeight w:val="980"/>
        </w:trPr>
        <w:tc>
          <w:tcPr>
            <w:tcW w:w="2484" w:type="dxa"/>
            <w:tcBorders>
              <w:top w:val="single" w:sz="4" w:space="0" w:color="000000"/>
              <w:left w:val="single" w:sz="4" w:space="0" w:color="000000"/>
              <w:bottom w:val="single" w:sz="4" w:space="0" w:color="000000"/>
              <w:right w:val="single" w:sz="4" w:space="0" w:color="000000"/>
            </w:tcBorders>
          </w:tcPr>
          <w:p w14:paraId="68B1C7FA" w14:textId="77777777" w:rsidR="00714CB5" w:rsidRPr="00FB12F0" w:rsidRDefault="00714CB5" w:rsidP="00714CB5">
            <w:r w:rsidRPr="00FB12F0">
              <w:lastRenderedPageBreak/>
              <w:t>Details of Setup</w:t>
            </w:r>
          </w:p>
        </w:tc>
        <w:tc>
          <w:tcPr>
            <w:tcW w:w="6372" w:type="dxa"/>
            <w:tcBorders>
              <w:top w:val="single" w:sz="4" w:space="0" w:color="000000"/>
              <w:left w:val="single" w:sz="4" w:space="0" w:color="000000"/>
              <w:bottom w:val="single" w:sz="4" w:space="0" w:color="000000"/>
              <w:right w:val="single" w:sz="4" w:space="0" w:color="000000"/>
            </w:tcBorders>
          </w:tcPr>
          <w:p w14:paraId="7C8B2B5F" w14:textId="43AA5A3D" w:rsidR="00AC220A" w:rsidRPr="00573188" w:rsidRDefault="00D24303" w:rsidP="00573188">
            <w:pPr>
              <w:pStyle w:val="ListParagraph"/>
              <w:numPr>
                <w:ilvl w:val="0"/>
                <w:numId w:val="3"/>
              </w:numPr>
              <w:rPr>
                <w:sz w:val="22"/>
                <w:szCs w:val="22"/>
              </w:rPr>
            </w:pPr>
            <w:r>
              <w:rPr>
                <w:rFonts w:ascii="Times New Roman" w:hAnsi="Times New Roman" w:cs="Times New Roman"/>
                <w:sz w:val="22"/>
                <w:szCs w:val="22"/>
              </w:rPr>
              <w:t>Robot</w:t>
            </w:r>
            <w:r w:rsidR="00573188">
              <w:rPr>
                <w:rFonts w:ascii="Times New Roman" w:hAnsi="Times New Roman" w:cs="Times New Roman"/>
                <w:sz w:val="22"/>
                <w:szCs w:val="22"/>
              </w:rPr>
              <w:t xml:space="preserve"> hand used to perform benchmark</w:t>
            </w:r>
          </w:p>
          <w:p w14:paraId="795485F4" w14:textId="33ABB53D" w:rsidR="00573188" w:rsidRPr="00573188" w:rsidRDefault="00573188" w:rsidP="00573188">
            <w:pPr>
              <w:pStyle w:val="ListParagraph"/>
              <w:numPr>
                <w:ilvl w:val="0"/>
                <w:numId w:val="3"/>
              </w:numPr>
              <w:rPr>
                <w:sz w:val="22"/>
                <w:szCs w:val="22"/>
              </w:rPr>
            </w:pPr>
            <w:r>
              <w:rPr>
                <w:rFonts w:ascii="Times New Roman" w:hAnsi="Times New Roman" w:cs="Times New Roman"/>
                <w:sz w:val="22"/>
                <w:szCs w:val="22"/>
              </w:rPr>
              <w:t>Camera used, as well as camera setup and calibration procedures, in addition to any image postprocessing methods</w:t>
            </w:r>
          </w:p>
          <w:p w14:paraId="0751B0CB" w14:textId="3548C452" w:rsidR="00573188" w:rsidRPr="00C35470" w:rsidRDefault="00C35470" w:rsidP="00573188">
            <w:pPr>
              <w:pStyle w:val="ListParagraph"/>
              <w:numPr>
                <w:ilvl w:val="0"/>
                <w:numId w:val="3"/>
              </w:numPr>
              <w:rPr>
                <w:rFonts w:ascii="Times New Roman" w:hAnsi="Times New Roman" w:cs="Times New Roman"/>
                <w:sz w:val="22"/>
                <w:szCs w:val="22"/>
              </w:rPr>
            </w:pPr>
            <w:r w:rsidRPr="00C35470">
              <w:rPr>
                <w:rFonts w:ascii="Times New Roman" w:hAnsi="Times New Roman" w:cs="Times New Roman"/>
                <w:sz w:val="22"/>
                <w:szCs w:val="22"/>
              </w:rPr>
              <w:t>Information on technique used for control of robot hand</w:t>
            </w:r>
          </w:p>
        </w:tc>
      </w:tr>
      <w:tr w:rsidR="00714CB5" w:rsidRPr="00FB12F0" w14:paraId="5E62A0BA" w14:textId="77777777">
        <w:trPr>
          <w:trHeight w:val="1140"/>
        </w:trPr>
        <w:tc>
          <w:tcPr>
            <w:tcW w:w="2484" w:type="dxa"/>
            <w:tcBorders>
              <w:top w:val="single" w:sz="4" w:space="0" w:color="000000"/>
              <w:left w:val="single" w:sz="4" w:space="0" w:color="000000"/>
              <w:bottom w:val="single" w:sz="4" w:space="0" w:color="000000"/>
              <w:right w:val="single" w:sz="4" w:space="0" w:color="000000"/>
            </w:tcBorders>
          </w:tcPr>
          <w:p w14:paraId="3E7B2EBC" w14:textId="77777777" w:rsidR="00714CB5" w:rsidRPr="00FB12F0" w:rsidRDefault="00714CB5" w:rsidP="00714CB5">
            <w:r w:rsidRPr="00FB12F0">
              <w:t>Results to Submit</w:t>
            </w:r>
          </w:p>
        </w:tc>
        <w:tc>
          <w:tcPr>
            <w:tcW w:w="6372" w:type="dxa"/>
            <w:tcBorders>
              <w:top w:val="single" w:sz="4" w:space="0" w:color="000000"/>
              <w:left w:val="single" w:sz="4" w:space="0" w:color="000000"/>
              <w:bottom w:val="single" w:sz="4" w:space="0" w:color="000000"/>
              <w:right w:val="single" w:sz="4" w:space="0" w:color="000000"/>
            </w:tcBorders>
          </w:tcPr>
          <w:p w14:paraId="3C12BDC5" w14:textId="6446765D" w:rsidR="00BA7920" w:rsidRDefault="00BA7920" w:rsidP="003A3356">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Quantitative scoring metrics, recorded in the included table</w:t>
            </w:r>
          </w:p>
          <w:p w14:paraId="447EAA9D" w14:textId="0AC3EECA" w:rsidR="00BA7920" w:rsidRDefault="007E0172" w:rsidP="003A3356">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Qualitative designations – Success or Failure (Incomplete or Non-anthropomorphic) for each manipulation pattern</w:t>
            </w:r>
          </w:p>
          <w:p w14:paraId="19AC73A8" w14:textId="5421C4DD" w:rsidR="007E0172" w:rsidRDefault="007E0172" w:rsidP="003A3356">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Video of robot performing all manipulation patterns (including failed patterns)</w:t>
            </w:r>
          </w:p>
          <w:p w14:paraId="4243A7C0" w14:textId="7646E725" w:rsidR="00253AF0" w:rsidRPr="00253AF0" w:rsidRDefault="007E0172" w:rsidP="007E0172">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Scores and video for human hand (optional)</w:t>
            </w:r>
          </w:p>
          <w:p w14:paraId="6AE02AE6" w14:textId="77777777" w:rsidR="003A3356" w:rsidRPr="00FB12F0" w:rsidRDefault="003A3356" w:rsidP="003A3356">
            <w:pPr>
              <w:pStyle w:val="ListParagraph"/>
              <w:numPr>
                <w:ilvl w:val="0"/>
                <w:numId w:val="1"/>
              </w:numPr>
              <w:rPr>
                <w:rFonts w:ascii="Times New Roman" w:hAnsi="Times New Roman" w:cs="Times New Roman"/>
                <w:sz w:val="22"/>
                <w:szCs w:val="22"/>
              </w:rPr>
            </w:pPr>
            <w:r w:rsidRPr="00FB12F0">
              <w:rPr>
                <w:rFonts w:ascii="Times New Roman" w:hAnsi="Times New Roman" w:cs="Times New Roman"/>
                <w:sz w:val="22"/>
                <w:szCs w:val="22"/>
              </w:rPr>
              <w:t>Provided detailed comments on</w:t>
            </w:r>
          </w:p>
          <w:p w14:paraId="34DAACDF" w14:textId="129B48B5" w:rsidR="003A3356" w:rsidRPr="00FB12F0" w:rsidRDefault="007E0172" w:rsidP="003A3356">
            <w:pPr>
              <w:pStyle w:val="ListParagraph"/>
              <w:numPr>
                <w:ilvl w:val="1"/>
                <w:numId w:val="1"/>
              </w:numPr>
              <w:rPr>
                <w:rFonts w:ascii="Times New Roman" w:hAnsi="Times New Roman" w:cs="Times New Roman"/>
                <w:sz w:val="22"/>
                <w:szCs w:val="22"/>
              </w:rPr>
            </w:pPr>
            <w:r>
              <w:rPr>
                <w:rFonts w:ascii="Times New Roman" w:hAnsi="Times New Roman" w:cs="Times New Roman"/>
                <w:sz w:val="22"/>
                <w:szCs w:val="22"/>
              </w:rPr>
              <w:t>What attributes of the hardware design contribute to its success?</w:t>
            </w:r>
          </w:p>
          <w:p w14:paraId="16BCA715" w14:textId="3C80A8F3" w:rsidR="007E0172" w:rsidRPr="00FB12F0" w:rsidRDefault="007E0172" w:rsidP="007E0172">
            <w:pPr>
              <w:pStyle w:val="ListParagraph"/>
              <w:numPr>
                <w:ilvl w:val="1"/>
                <w:numId w:val="1"/>
              </w:numPr>
            </w:pPr>
            <w:r>
              <w:rPr>
                <w:rFonts w:ascii="Times New Roman" w:hAnsi="Times New Roman" w:cs="Times New Roman"/>
                <w:sz w:val="22"/>
                <w:szCs w:val="22"/>
              </w:rPr>
              <w:t>What attributes of the hardware design contribute to failures</w:t>
            </w:r>
            <w:r w:rsidR="00173A24">
              <w:rPr>
                <w:rFonts w:ascii="Times New Roman" w:hAnsi="Times New Roman" w:cs="Times New Roman"/>
                <w:sz w:val="22"/>
                <w:szCs w:val="22"/>
              </w:rPr>
              <w:t>?</w:t>
            </w:r>
            <w:r>
              <w:rPr>
                <w:rFonts w:ascii="Times New Roman" w:hAnsi="Times New Roman" w:cs="Times New Roman"/>
                <w:sz w:val="22"/>
                <w:szCs w:val="22"/>
              </w:rPr>
              <w:t xml:space="preserve"> (specifically address each failed manipulation pattern)</w:t>
            </w:r>
          </w:p>
        </w:tc>
      </w:tr>
    </w:tbl>
    <w:p w14:paraId="08BCE015" w14:textId="77777777" w:rsidR="00A54B46" w:rsidRPr="005B0BE6" w:rsidRDefault="00A54B46"/>
    <w:sectPr w:rsidR="00A54B46" w:rsidRPr="005B0BE6">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E0464"/>
    <w:multiLevelType w:val="hybridMultilevel"/>
    <w:tmpl w:val="EEE0A1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BD299E"/>
    <w:multiLevelType w:val="hybridMultilevel"/>
    <w:tmpl w:val="A742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8A2B12"/>
    <w:multiLevelType w:val="hybridMultilevel"/>
    <w:tmpl w:val="0228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955298">
    <w:abstractNumId w:val="0"/>
  </w:num>
  <w:num w:numId="2" w16cid:durableId="1426882062">
    <w:abstractNumId w:val="1"/>
  </w:num>
  <w:num w:numId="3" w16cid:durableId="1302345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A54B46"/>
    <w:rsid w:val="000113EE"/>
    <w:rsid w:val="00045C06"/>
    <w:rsid w:val="0004768E"/>
    <w:rsid w:val="000A68A6"/>
    <w:rsid w:val="000B3C5B"/>
    <w:rsid w:val="000B6AF4"/>
    <w:rsid w:val="000C24D0"/>
    <w:rsid w:val="000D10F3"/>
    <w:rsid w:val="000D428A"/>
    <w:rsid w:val="00143678"/>
    <w:rsid w:val="00162FFD"/>
    <w:rsid w:val="00170876"/>
    <w:rsid w:val="00173A24"/>
    <w:rsid w:val="00175619"/>
    <w:rsid w:val="00190AEA"/>
    <w:rsid w:val="001C7126"/>
    <w:rsid w:val="001D21FC"/>
    <w:rsid w:val="001F6450"/>
    <w:rsid w:val="0021022E"/>
    <w:rsid w:val="00211025"/>
    <w:rsid w:val="00223F82"/>
    <w:rsid w:val="00253AF0"/>
    <w:rsid w:val="00267628"/>
    <w:rsid w:val="00270A4A"/>
    <w:rsid w:val="00274805"/>
    <w:rsid w:val="00284337"/>
    <w:rsid w:val="00287ED7"/>
    <w:rsid w:val="002F00DD"/>
    <w:rsid w:val="003252D4"/>
    <w:rsid w:val="003A3356"/>
    <w:rsid w:val="003A6F5D"/>
    <w:rsid w:val="003B238B"/>
    <w:rsid w:val="003B4DBA"/>
    <w:rsid w:val="003C3E03"/>
    <w:rsid w:val="004132FA"/>
    <w:rsid w:val="00417238"/>
    <w:rsid w:val="00427720"/>
    <w:rsid w:val="0045448C"/>
    <w:rsid w:val="004A3390"/>
    <w:rsid w:val="004B5CD9"/>
    <w:rsid w:val="004D0F73"/>
    <w:rsid w:val="004D234E"/>
    <w:rsid w:val="004E11CE"/>
    <w:rsid w:val="004F16E4"/>
    <w:rsid w:val="00505F62"/>
    <w:rsid w:val="00551397"/>
    <w:rsid w:val="00573188"/>
    <w:rsid w:val="005774C2"/>
    <w:rsid w:val="00595BA1"/>
    <w:rsid w:val="005A050E"/>
    <w:rsid w:val="005A0A3A"/>
    <w:rsid w:val="005B0BE6"/>
    <w:rsid w:val="005D1DAD"/>
    <w:rsid w:val="005D7237"/>
    <w:rsid w:val="005E41C5"/>
    <w:rsid w:val="00602E6D"/>
    <w:rsid w:val="0063283B"/>
    <w:rsid w:val="006364FA"/>
    <w:rsid w:val="0065527F"/>
    <w:rsid w:val="00670908"/>
    <w:rsid w:val="00681649"/>
    <w:rsid w:val="006C5F68"/>
    <w:rsid w:val="00714CB5"/>
    <w:rsid w:val="00720075"/>
    <w:rsid w:val="00735410"/>
    <w:rsid w:val="007B5EC3"/>
    <w:rsid w:val="007C0D1D"/>
    <w:rsid w:val="007D181F"/>
    <w:rsid w:val="007E0172"/>
    <w:rsid w:val="007E7095"/>
    <w:rsid w:val="00806218"/>
    <w:rsid w:val="008300DB"/>
    <w:rsid w:val="00845362"/>
    <w:rsid w:val="00852A0E"/>
    <w:rsid w:val="00856962"/>
    <w:rsid w:val="008771BD"/>
    <w:rsid w:val="0089596A"/>
    <w:rsid w:val="008B5190"/>
    <w:rsid w:val="008C5434"/>
    <w:rsid w:val="008C5D80"/>
    <w:rsid w:val="008C5F3F"/>
    <w:rsid w:val="008E6CAE"/>
    <w:rsid w:val="0090295F"/>
    <w:rsid w:val="0092627B"/>
    <w:rsid w:val="0092690D"/>
    <w:rsid w:val="0093522E"/>
    <w:rsid w:val="009360E1"/>
    <w:rsid w:val="00941DF9"/>
    <w:rsid w:val="00970EBA"/>
    <w:rsid w:val="00976398"/>
    <w:rsid w:val="00990A17"/>
    <w:rsid w:val="009A62A8"/>
    <w:rsid w:val="009D0F25"/>
    <w:rsid w:val="009D774B"/>
    <w:rsid w:val="009E44BA"/>
    <w:rsid w:val="00A54B46"/>
    <w:rsid w:val="00A62B74"/>
    <w:rsid w:val="00AA43F3"/>
    <w:rsid w:val="00AC220A"/>
    <w:rsid w:val="00AC5278"/>
    <w:rsid w:val="00B00236"/>
    <w:rsid w:val="00B21FD5"/>
    <w:rsid w:val="00B30083"/>
    <w:rsid w:val="00B374BC"/>
    <w:rsid w:val="00B53E6A"/>
    <w:rsid w:val="00B75CA6"/>
    <w:rsid w:val="00B97FB5"/>
    <w:rsid w:val="00BA738D"/>
    <w:rsid w:val="00BA7920"/>
    <w:rsid w:val="00BB3D09"/>
    <w:rsid w:val="00BB489C"/>
    <w:rsid w:val="00BD03C1"/>
    <w:rsid w:val="00BE0CB4"/>
    <w:rsid w:val="00BE245C"/>
    <w:rsid w:val="00BF0B2F"/>
    <w:rsid w:val="00BF5023"/>
    <w:rsid w:val="00C077E6"/>
    <w:rsid w:val="00C10D23"/>
    <w:rsid w:val="00C12D75"/>
    <w:rsid w:val="00C26F47"/>
    <w:rsid w:val="00C32082"/>
    <w:rsid w:val="00C35470"/>
    <w:rsid w:val="00C4591A"/>
    <w:rsid w:val="00C4770F"/>
    <w:rsid w:val="00C56CA3"/>
    <w:rsid w:val="00C8603E"/>
    <w:rsid w:val="00CA07D5"/>
    <w:rsid w:val="00CD0708"/>
    <w:rsid w:val="00CE0B2F"/>
    <w:rsid w:val="00D24303"/>
    <w:rsid w:val="00D270CA"/>
    <w:rsid w:val="00D30D44"/>
    <w:rsid w:val="00D41290"/>
    <w:rsid w:val="00D45FB3"/>
    <w:rsid w:val="00D71F06"/>
    <w:rsid w:val="00D86046"/>
    <w:rsid w:val="00D909D5"/>
    <w:rsid w:val="00DB04D3"/>
    <w:rsid w:val="00DB3560"/>
    <w:rsid w:val="00DB44C8"/>
    <w:rsid w:val="00DF3C7F"/>
    <w:rsid w:val="00E04E10"/>
    <w:rsid w:val="00E129D5"/>
    <w:rsid w:val="00E276EF"/>
    <w:rsid w:val="00E636DF"/>
    <w:rsid w:val="00EA39E7"/>
    <w:rsid w:val="00EE6140"/>
    <w:rsid w:val="00EF4F15"/>
    <w:rsid w:val="00F07F67"/>
    <w:rsid w:val="00F13604"/>
    <w:rsid w:val="00F2286B"/>
    <w:rsid w:val="00F25C0C"/>
    <w:rsid w:val="00F95C40"/>
    <w:rsid w:val="00FB12F0"/>
    <w:rsid w:val="00FE3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9596"/>
  <w15:docId w15:val="{BAC20321-98E9-C642-BDC8-31749F80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zh-CN"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CellMar>
        <w:left w:w="115" w:type="dxa"/>
        <w:right w:w="115" w:type="dxa"/>
      </w:tblCellMar>
    </w:tblPr>
  </w:style>
  <w:style w:type="paragraph" w:styleId="ListParagraph">
    <w:name w:val="List Paragraph"/>
    <w:basedOn w:val="Normal"/>
    <w:uiPriority w:val="34"/>
    <w:qFormat/>
    <w:rsid w:val="003A3356"/>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EastAsia" w:hAnsiTheme="minorHAnsi" w:cstheme="minorBidi"/>
      <w:color w:val="auto"/>
      <w:sz w:val="24"/>
      <w:szCs w:val="24"/>
    </w:rPr>
  </w:style>
  <w:style w:type="character" w:styleId="PlaceholderText">
    <w:name w:val="Placeholder Text"/>
    <w:basedOn w:val="DefaultParagraphFont"/>
    <w:uiPriority w:val="99"/>
    <w:semiHidden/>
    <w:rsid w:val="008C5F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157389">
      <w:bodyDiv w:val="1"/>
      <w:marLeft w:val="0"/>
      <w:marRight w:val="0"/>
      <w:marTop w:val="0"/>
      <w:marBottom w:val="0"/>
      <w:divBdr>
        <w:top w:val="none" w:sz="0" w:space="0" w:color="auto"/>
        <w:left w:val="none" w:sz="0" w:space="0" w:color="auto"/>
        <w:bottom w:val="none" w:sz="0" w:space="0" w:color="auto"/>
        <w:right w:val="none" w:sz="0" w:space="0" w:color="auto"/>
      </w:divBdr>
    </w:div>
    <w:div w:id="973875063">
      <w:bodyDiv w:val="1"/>
      <w:marLeft w:val="0"/>
      <w:marRight w:val="0"/>
      <w:marTop w:val="0"/>
      <w:marBottom w:val="0"/>
      <w:divBdr>
        <w:top w:val="none" w:sz="0" w:space="0" w:color="auto"/>
        <w:left w:val="none" w:sz="0" w:space="0" w:color="auto"/>
        <w:bottom w:val="none" w:sz="0" w:space="0" w:color="auto"/>
        <w:right w:val="none" w:sz="0" w:space="0" w:color="auto"/>
      </w:divBdr>
    </w:div>
    <w:div w:id="1339695601">
      <w:bodyDiv w:val="1"/>
      <w:marLeft w:val="0"/>
      <w:marRight w:val="0"/>
      <w:marTop w:val="0"/>
      <w:marBottom w:val="0"/>
      <w:divBdr>
        <w:top w:val="none" w:sz="0" w:space="0" w:color="auto"/>
        <w:left w:val="none" w:sz="0" w:space="0" w:color="auto"/>
        <w:bottom w:val="none" w:sz="0" w:space="0" w:color="auto"/>
        <w:right w:val="none" w:sz="0" w:space="0" w:color="auto"/>
      </w:divBdr>
    </w:div>
    <w:div w:id="1390955226">
      <w:bodyDiv w:val="1"/>
      <w:marLeft w:val="0"/>
      <w:marRight w:val="0"/>
      <w:marTop w:val="0"/>
      <w:marBottom w:val="0"/>
      <w:divBdr>
        <w:top w:val="none" w:sz="0" w:space="0" w:color="auto"/>
        <w:left w:val="none" w:sz="0" w:space="0" w:color="auto"/>
        <w:bottom w:val="none" w:sz="0" w:space="0" w:color="auto"/>
        <w:right w:val="none" w:sz="0" w:space="0" w:color="auto"/>
      </w:divBdr>
    </w:div>
    <w:div w:id="2110539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Ryan</cp:lastModifiedBy>
  <cp:revision>152</cp:revision>
  <dcterms:created xsi:type="dcterms:W3CDTF">2020-11-23T08:47:00Z</dcterms:created>
  <dcterms:modified xsi:type="dcterms:W3CDTF">2023-04-22T17:49:00Z</dcterms:modified>
</cp:coreProperties>
</file>