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206A9" w14:textId="6FFB0ECA" w:rsidR="00570F82" w:rsidRDefault="007B7322">
      <w:pPr>
        <w:jc w:val="center"/>
        <w:rPr>
          <w:b/>
          <w:sz w:val="30"/>
          <w:szCs w:val="30"/>
        </w:rPr>
      </w:pPr>
      <w:r>
        <w:rPr>
          <w:b/>
          <w:sz w:val="30"/>
          <w:szCs w:val="30"/>
        </w:rPr>
        <w:t>Elliott and Connolly Benchmark Protocol</w:t>
      </w:r>
    </w:p>
    <w:p w14:paraId="29562ECE" w14:textId="77777777" w:rsidR="00570F82" w:rsidRDefault="00570F82">
      <w:pPr>
        <w:jc w:val="center"/>
        <w:rPr>
          <w:b/>
        </w:rPr>
      </w:pPr>
    </w:p>
    <w:tbl>
      <w:tblPr>
        <w:tblStyle w:val="a"/>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6"/>
        <w:gridCol w:w="6280"/>
      </w:tblGrid>
      <w:tr w:rsidR="00570F82" w14:paraId="7AD21B87" w14:textId="77777777">
        <w:tc>
          <w:tcPr>
            <w:tcW w:w="2576" w:type="dxa"/>
            <w:tcBorders>
              <w:top w:val="single" w:sz="4" w:space="0" w:color="000000"/>
              <w:left w:val="single" w:sz="4" w:space="0" w:color="000000"/>
              <w:bottom w:val="nil"/>
              <w:right w:val="single" w:sz="4" w:space="0" w:color="000000"/>
            </w:tcBorders>
            <w:vAlign w:val="center"/>
          </w:tcPr>
          <w:p w14:paraId="6A4E4B28" w14:textId="77777777" w:rsidR="00570F82" w:rsidRDefault="00B978D8">
            <w:r>
              <w:t>Reference No / Version</w:t>
            </w:r>
          </w:p>
        </w:tc>
        <w:tc>
          <w:tcPr>
            <w:tcW w:w="6280" w:type="dxa"/>
            <w:tcBorders>
              <w:top w:val="single" w:sz="4" w:space="0" w:color="000000"/>
              <w:left w:val="single" w:sz="4" w:space="0" w:color="000000"/>
              <w:bottom w:val="single" w:sz="4" w:space="0" w:color="000000"/>
              <w:right w:val="single" w:sz="4" w:space="0" w:color="000000"/>
            </w:tcBorders>
          </w:tcPr>
          <w:p w14:paraId="58A631D2" w14:textId="7122D71D" w:rsidR="00570F82" w:rsidRDefault="007B7322">
            <w:r>
              <w:t>1.0</w:t>
            </w:r>
          </w:p>
        </w:tc>
      </w:tr>
      <w:tr w:rsidR="00570F82" w14:paraId="7A835540" w14:textId="77777777">
        <w:tc>
          <w:tcPr>
            <w:tcW w:w="2576" w:type="dxa"/>
            <w:tcBorders>
              <w:top w:val="nil"/>
              <w:left w:val="single" w:sz="4" w:space="0" w:color="000000"/>
              <w:bottom w:val="nil"/>
              <w:right w:val="single" w:sz="4" w:space="0" w:color="000000"/>
            </w:tcBorders>
            <w:vAlign w:val="center"/>
          </w:tcPr>
          <w:p w14:paraId="69770CDE" w14:textId="77777777" w:rsidR="00570F82" w:rsidRDefault="00B978D8">
            <w:r>
              <w:t>Authors</w:t>
            </w:r>
          </w:p>
        </w:tc>
        <w:tc>
          <w:tcPr>
            <w:tcW w:w="6280" w:type="dxa"/>
            <w:tcBorders>
              <w:top w:val="single" w:sz="4" w:space="0" w:color="000000"/>
              <w:left w:val="single" w:sz="4" w:space="0" w:color="000000"/>
              <w:bottom w:val="single" w:sz="4" w:space="0" w:color="000000"/>
              <w:right w:val="single" w:sz="4" w:space="0" w:color="000000"/>
            </w:tcBorders>
          </w:tcPr>
          <w:p w14:paraId="1735802F" w14:textId="3164225D" w:rsidR="00570F82" w:rsidRPr="007B7322" w:rsidRDefault="003C111A">
            <w:r w:rsidRPr="0036115B">
              <w:t>Ryan Coulson, Chao Li, Carmel Majidi</w:t>
            </w:r>
            <w:r w:rsidR="007B7322">
              <w:t>, Nancy Pollard</w:t>
            </w:r>
          </w:p>
        </w:tc>
      </w:tr>
      <w:tr w:rsidR="005E1FCD" w14:paraId="552869A9" w14:textId="77777777">
        <w:trPr>
          <w:trHeight w:val="100"/>
        </w:trPr>
        <w:tc>
          <w:tcPr>
            <w:tcW w:w="2576" w:type="dxa"/>
            <w:tcBorders>
              <w:top w:val="nil"/>
              <w:left w:val="single" w:sz="4" w:space="0" w:color="000000"/>
              <w:bottom w:val="nil"/>
              <w:right w:val="single" w:sz="4" w:space="0" w:color="000000"/>
            </w:tcBorders>
            <w:vAlign w:val="center"/>
          </w:tcPr>
          <w:p w14:paraId="1B6A71B6" w14:textId="77777777" w:rsidR="005E1FCD" w:rsidRDefault="005E1FCD" w:rsidP="005E1FCD">
            <w:r>
              <w:t>Institution</w:t>
            </w:r>
          </w:p>
        </w:tc>
        <w:tc>
          <w:tcPr>
            <w:tcW w:w="6280" w:type="dxa"/>
            <w:tcBorders>
              <w:top w:val="single" w:sz="4" w:space="0" w:color="000000"/>
              <w:left w:val="single" w:sz="4" w:space="0" w:color="000000"/>
              <w:bottom w:val="single" w:sz="4" w:space="0" w:color="000000"/>
              <w:right w:val="single" w:sz="4" w:space="0" w:color="000000"/>
            </w:tcBorders>
          </w:tcPr>
          <w:p w14:paraId="5D991786" w14:textId="7B8A1045" w:rsidR="005E1FCD" w:rsidRDefault="007B7322" w:rsidP="005E1FCD">
            <w:r>
              <w:t>Carnegie Mellon University</w:t>
            </w:r>
          </w:p>
        </w:tc>
      </w:tr>
      <w:tr w:rsidR="00570F82" w14:paraId="54E7FA2F" w14:textId="77777777">
        <w:tc>
          <w:tcPr>
            <w:tcW w:w="2576" w:type="dxa"/>
            <w:tcBorders>
              <w:top w:val="nil"/>
              <w:left w:val="single" w:sz="4" w:space="0" w:color="000000"/>
              <w:bottom w:val="single" w:sz="4" w:space="0" w:color="000000"/>
              <w:right w:val="single" w:sz="4" w:space="0" w:color="000000"/>
            </w:tcBorders>
            <w:vAlign w:val="center"/>
          </w:tcPr>
          <w:p w14:paraId="0A6A6D83" w14:textId="77777777" w:rsidR="00570F82" w:rsidRDefault="00B978D8">
            <w:r>
              <w:t>Contact information</w:t>
            </w:r>
          </w:p>
        </w:tc>
        <w:tc>
          <w:tcPr>
            <w:tcW w:w="6280" w:type="dxa"/>
            <w:tcBorders>
              <w:top w:val="single" w:sz="4" w:space="0" w:color="000000"/>
              <w:left w:val="single" w:sz="4" w:space="0" w:color="000000"/>
              <w:bottom w:val="single" w:sz="4" w:space="0" w:color="000000"/>
              <w:right w:val="single" w:sz="4" w:space="0" w:color="000000"/>
            </w:tcBorders>
          </w:tcPr>
          <w:p w14:paraId="2FF7EA65" w14:textId="54F922BB" w:rsidR="00570F82" w:rsidRDefault="006C6C05">
            <w:r>
              <w:t>ryanlcoulson@gmail.com</w:t>
            </w:r>
          </w:p>
        </w:tc>
      </w:tr>
      <w:tr w:rsidR="00570F82" w14:paraId="285D487F" w14:textId="77777777">
        <w:trPr>
          <w:trHeight w:val="560"/>
        </w:trPr>
        <w:tc>
          <w:tcPr>
            <w:tcW w:w="2576" w:type="dxa"/>
            <w:tcBorders>
              <w:top w:val="single" w:sz="4" w:space="0" w:color="000000"/>
              <w:left w:val="single" w:sz="4" w:space="0" w:color="000000"/>
              <w:bottom w:val="single" w:sz="4" w:space="0" w:color="000000"/>
              <w:right w:val="single" w:sz="4" w:space="0" w:color="000000"/>
            </w:tcBorders>
          </w:tcPr>
          <w:p w14:paraId="6275C094" w14:textId="77777777" w:rsidR="00570F82" w:rsidRDefault="00B978D8">
            <w:r>
              <w:t xml:space="preserve">Purpose                                </w:t>
            </w:r>
          </w:p>
        </w:tc>
        <w:tc>
          <w:tcPr>
            <w:tcW w:w="6280" w:type="dxa"/>
            <w:tcBorders>
              <w:top w:val="single" w:sz="4" w:space="0" w:color="000000"/>
              <w:left w:val="single" w:sz="4" w:space="0" w:color="000000"/>
              <w:bottom w:val="single" w:sz="4" w:space="0" w:color="000000"/>
              <w:right w:val="single" w:sz="4" w:space="0" w:color="000000"/>
            </w:tcBorders>
          </w:tcPr>
          <w:p w14:paraId="5A69CFFF" w14:textId="19247988" w:rsidR="002909AB" w:rsidRDefault="007B7322">
            <w:r>
              <w:t xml:space="preserve">To evaluate the potential in-hand dexterity of a robot hand. We specify </w:t>
            </w:r>
            <w:r w:rsidRPr="007B7322">
              <w:rPr>
                <w:i/>
                <w:iCs/>
              </w:rPr>
              <w:t>potential</w:t>
            </w:r>
            <w:r>
              <w:t xml:space="preserve"> dexterity because this benchmark is only concerned with the capabilities of the robot hardware, regardless of whether these capabilities can be implemented in an autonomous system using current algorithms.</w:t>
            </w:r>
          </w:p>
        </w:tc>
      </w:tr>
      <w:tr w:rsidR="00570F82" w14:paraId="2F3DDA92" w14:textId="77777777">
        <w:trPr>
          <w:trHeight w:val="700"/>
        </w:trPr>
        <w:tc>
          <w:tcPr>
            <w:tcW w:w="2576" w:type="dxa"/>
            <w:tcBorders>
              <w:top w:val="single" w:sz="4" w:space="0" w:color="000000"/>
              <w:left w:val="single" w:sz="4" w:space="0" w:color="000000"/>
              <w:bottom w:val="single" w:sz="4" w:space="0" w:color="000000"/>
              <w:right w:val="single" w:sz="4" w:space="0" w:color="000000"/>
            </w:tcBorders>
          </w:tcPr>
          <w:p w14:paraId="1DB30854" w14:textId="77777777" w:rsidR="00570F82" w:rsidRDefault="00B978D8">
            <w:r>
              <w:t xml:space="preserve">Task Description           </w:t>
            </w:r>
          </w:p>
        </w:tc>
        <w:tc>
          <w:tcPr>
            <w:tcW w:w="6280" w:type="dxa"/>
            <w:tcBorders>
              <w:top w:val="single" w:sz="4" w:space="0" w:color="000000"/>
              <w:left w:val="single" w:sz="4" w:space="0" w:color="000000"/>
              <w:bottom w:val="single" w:sz="4" w:space="0" w:color="000000"/>
              <w:right w:val="single" w:sz="4" w:space="0" w:color="000000"/>
            </w:tcBorders>
          </w:tcPr>
          <w:p w14:paraId="1A08E1C5" w14:textId="5305FA86" w:rsidR="00572465" w:rsidRDefault="00B2427D">
            <w:r>
              <w:t xml:space="preserve">This benchmark consists of 13 distinct in-hand manipulation patterns, defined in a </w:t>
            </w:r>
            <w:r w:rsidR="00572465">
              <w:t>classification by Elliott and Connolly</w:t>
            </w:r>
            <w:r w:rsidR="00C16D26">
              <w:t>*:</w:t>
            </w:r>
          </w:p>
          <w:p w14:paraId="68D62504" w14:textId="058A85D7" w:rsidR="00974ADD" w:rsidRDefault="00974ADD" w:rsidP="00974ADD">
            <w:pPr>
              <w:pStyle w:val="ListParagraph"/>
              <w:numPr>
                <w:ilvl w:val="0"/>
                <w:numId w:val="1"/>
              </w:numPr>
            </w:pPr>
            <w:r>
              <w:t>Pinch</w:t>
            </w:r>
            <w:r w:rsidR="00B2427D">
              <w:t xml:space="preserve"> (P)</w:t>
            </w:r>
          </w:p>
          <w:p w14:paraId="5AA3ACA4" w14:textId="5885EC76" w:rsidR="00974ADD" w:rsidRDefault="00974ADD" w:rsidP="00974ADD">
            <w:pPr>
              <w:pStyle w:val="ListParagraph"/>
              <w:numPr>
                <w:ilvl w:val="0"/>
                <w:numId w:val="1"/>
              </w:numPr>
            </w:pPr>
            <w:r>
              <w:t>Dynamic Tripod</w:t>
            </w:r>
            <w:r w:rsidR="00B2427D">
              <w:t xml:space="preserve"> (DT)</w:t>
            </w:r>
          </w:p>
          <w:p w14:paraId="3593E929" w14:textId="6358E093" w:rsidR="00974ADD" w:rsidRDefault="00974ADD" w:rsidP="00974ADD">
            <w:pPr>
              <w:pStyle w:val="ListParagraph"/>
              <w:numPr>
                <w:ilvl w:val="0"/>
                <w:numId w:val="1"/>
              </w:numPr>
            </w:pPr>
            <w:r>
              <w:t>Squeeze</w:t>
            </w:r>
            <w:r w:rsidR="00B2427D">
              <w:t xml:space="preserve"> (S)</w:t>
            </w:r>
          </w:p>
          <w:p w14:paraId="08E1D3B1" w14:textId="652A46EA" w:rsidR="00974ADD" w:rsidRDefault="00974ADD" w:rsidP="00974ADD">
            <w:pPr>
              <w:pStyle w:val="ListParagraph"/>
              <w:numPr>
                <w:ilvl w:val="0"/>
                <w:numId w:val="1"/>
              </w:numPr>
            </w:pPr>
            <w:r>
              <w:t>Twiddle</w:t>
            </w:r>
            <w:r w:rsidR="00B2427D">
              <w:t xml:space="preserve"> (T)</w:t>
            </w:r>
          </w:p>
          <w:p w14:paraId="1A036193" w14:textId="67B496B2" w:rsidR="00974ADD" w:rsidRDefault="00974ADD" w:rsidP="00974ADD">
            <w:pPr>
              <w:pStyle w:val="ListParagraph"/>
              <w:numPr>
                <w:ilvl w:val="0"/>
                <w:numId w:val="1"/>
              </w:numPr>
            </w:pPr>
            <w:r>
              <w:t>Rock</w:t>
            </w:r>
            <w:r w:rsidR="00B2427D">
              <w:t xml:space="preserve"> (R)</w:t>
            </w:r>
          </w:p>
          <w:p w14:paraId="515E8C0B" w14:textId="69BD0FD8" w:rsidR="00974ADD" w:rsidRPr="00C16D26" w:rsidRDefault="00974ADD" w:rsidP="00974ADD">
            <w:pPr>
              <w:pStyle w:val="ListParagraph"/>
              <w:numPr>
                <w:ilvl w:val="0"/>
                <w:numId w:val="1"/>
              </w:numPr>
            </w:pPr>
            <w:r w:rsidRPr="00C16D26">
              <w:t>Rock II</w:t>
            </w:r>
            <w:r w:rsidR="00B2427D" w:rsidRPr="00C16D26">
              <w:t xml:space="preserve"> (RII)</w:t>
            </w:r>
          </w:p>
          <w:p w14:paraId="46FA2A31" w14:textId="435FE437" w:rsidR="00974ADD" w:rsidRPr="00C16D26" w:rsidRDefault="00974ADD" w:rsidP="00974ADD">
            <w:pPr>
              <w:pStyle w:val="ListParagraph"/>
              <w:numPr>
                <w:ilvl w:val="0"/>
                <w:numId w:val="1"/>
              </w:numPr>
            </w:pPr>
            <w:r w:rsidRPr="00C16D26">
              <w:t>Radial Roll</w:t>
            </w:r>
            <w:r w:rsidR="00B2427D" w:rsidRPr="00C16D26">
              <w:t xml:space="preserve"> (RR)</w:t>
            </w:r>
          </w:p>
          <w:p w14:paraId="7F77CA9E" w14:textId="1E2FED21" w:rsidR="00974ADD" w:rsidRPr="00C16D26" w:rsidRDefault="00974ADD" w:rsidP="00974ADD">
            <w:pPr>
              <w:pStyle w:val="ListParagraph"/>
              <w:numPr>
                <w:ilvl w:val="0"/>
                <w:numId w:val="1"/>
              </w:numPr>
            </w:pPr>
            <w:r w:rsidRPr="00C16D26">
              <w:t>Index Roll</w:t>
            </w:r>
            <w:r w:rsidR="00B2427D" w:rsidRPr="00C16D26">
              <w:t xml:space="preserve"> (IR)</w:t>
            </w:r>
          </w:p>
          <w:p w14:paraId="49BB5144" w14:textId="6DBA982D" w:rsidR="00974ADD" w:rsidRPr="00C16D26" w:rsidRDefault="00974ADD" w:rsidP="00974ADD">
            <w:pPr>
              <w:pStyle w:val="ListParagraph"/>
              <w:numPr>
                <w:ilvl w:val="0"/>
                <w:numId w:val="1"/>
              </w:numPr>
            </w:pPr>
            <w:r w:rsidRPr="00C16D26">
              <w:t>Full Roll</w:t>
            </w:r>
            <w:r w:rsidR="00B2427D" w:rsidRPr="00C16D26">
              <w:t xml:space="preserve"> (FR)</w:t>
            </w:r>
          </w:p>
          <w:p w14:paraId="0894EE09" w14:textId="4A439EC7" w:rsidR="00974ADD" w:rsidRPr="00C16D26" w:rsidRDefault="00974ADD" w:rsidP="00974ADD">
            <w:pPr>
              <w:pStyle w:val="ListParagraph"/>
              <w:numPr>
                <w:ilvl w:val="0"/>
                <w:numId w:val="1"/>
              </w:numPr>
            </w:pPr>
            <w:r w:rsidRPr="00C16D26">
              <w:t>Rotary Step</w:t>
            </w:r>
            <w:r w:rsidR="00B2427D" w:rsidRPr="00C16D26">
              <w:t xml:space="preserve"> (RS)</w:t>
            </w:r>
          </w:p>
          <w:p w14:paraId="71C6EBEA" w14:textId="6D1E1045" w:rsidR="00974ADD" w:rsidRPr="00C16D26" w:rsidRDefault="00974ADD" w:rsidP="00974ADD">
            <w:pPr>
              <w:pStyle w:val="ListParagraph"/>
              <w:numPr>
                <w:ilvl w:val="0"/>
                <w:numId w:val="1"/>
              </w:numPr>
            </w:pPr>
            <w:r w:rsidRPr="00C16D26">
              <w:t>Interdigital Step</w:t>
            </w:r>
            <w:r w:rsidR="00B2427D" w:rsidRPr="00C16D26">
              <w:t xml:space="preserve"> (IS)</w:t>
            </w:r>
          </w:p>
          <w:p w14:paraId="6D9E16D2" w14:textId="2F32EB73" w:rsidR="00974ADD" w:rsidRPr="00C16D26" w:rsidRDefault="00974ADD" w:rsidP="00974ADD">
            <w:pPr>
              <w:pStyle w:val="ListParagraph"/>
              <w:numPr>
                <w:ilvl w:val="0"/>
                <w:numId w:val="1"/>
              </w:numPr>
            </w:pPr>
            <w:r w:rsidRPr="00C16D26">
              <w:t>Linear Step</w:t>
            </w:r>
            <w:r w:rsidR="00B2427D" w:rsidRPr="00C16D26">
              <w:t xml:space="preserve"> (LS)</w:t>
            </w:r>
          </w:p>
          <w:p w14:paraId="7958185B" w14:textId="77777777" w:rsidR="00C32B55" w:rsidRPr="00C16D26" w:rsidRDefault="00974ADD" w:rsidP="00B2427D">
            <w:pPr>
              <w:pStyle w:val="ListParagraph"/>
              <w:numPr>
                <w:ilvl w:val="0"/>
                <w:numId w:val="1"/>
              </w:numPr>
            </w:pPr>
            <w:r w:rsidRPr="00C16D26">
              <w:t>Palmer Slide</w:t>
            </w:r>
            <w:r w:rsidR="00B2427D" w:rsidRPr="00C16D26">
              <w:t xml:space="preserve"> (PS)</w:t>
            </w:r>
          </w:p>
          <w:p w14:paraId="1E27DF62" w14:textId="77777777" w:rsidR="00C16D26" w:rsidRPr="00C16D26" w:rsidRDefault="00C16D26" w:rsidP="00C16D26"/>
          <w:p w14:paraId="78535056" w14:textId="130E1427" w:rsidR="00C16D26" w:rsidRPr="00C16D26" w:rsidRDefault="00C16D26" w:rsidP="00C16D26">
            <w:r w:rsidRPr="00C16D26">
              <w:t>*</w:t>
            </w:r>
            <w:r w:rsidRPr="00C16D26">
              <w:rPr>
                <w:color w:val="222222"/>
                <w:shd w:val="clear" w:color="auto" w:fill="FFFFFF"/>
              </w:rPr>
              <w:t>Elliott, John M., and K. J. Connolly. "A classification of manipulative hand movements." </w:t>
            </w:r>
            <w:r w:rsidRPr="00C16D26">
              <w:rPr>
                <w:i/>
                <w:iCs/>
                <w:color w:val="222222"/>
                <w:shd w:val="clear" w:color="auto" w:fill="FFFFFF"/>
              </w:rPr>
              <w:t>Developmental Medicine &amp; Child Neurology</w:t>
            </w:r>
            <w:r w:rsidRPr="00C16D26">
              <w:rPr>
                <w:color w:val="222222"/>
                <w:shd w:val="clear" w:color="auto" w:fill="FFFFFF"/>
              </w:rPr>
              <w:t> 26, no. 3 (1984): 283-296.</w:t>
            </w:r>
          </w:p>
        </w:tc>
      </w:tr>
      <w:tr w:rsidR="00570F82" w14:paraId="60D5AE35" w14:textId="77777777" w:rsidTr="00C92D2F">
        <w:trPr>
          <w:trHeight w:val="66"/>
        </w:trPr>
        <w:tc>
          <w:tcPr>
            <w:tcW w:w="2576" w:type="dxa"/>
            <w:vMerge w:val="restart"/>
            <w:tcBorders>
              <w:top w:val="single" w:sz="4" w:space="0" w:color="000000"/>
              <w:left w:val="single" w:sz="4" w:space="0" w:color="000000"/>
              <w:bottom w:val="single" w:sz="4" w:space="0" w:color="000000"/>
              <w:right w:val="single" w:sz="4" w:space="0" w:color="000000"/>
            </w:tcBorders>
          </w:tcPr>
          <w:p w14:paraId="72F6D918" w14:textId="77777777" w:rsidR="00570F82" w:rsidRDefault="00B978D8">
            <w:r>
              <w:t xml:space="preserve">Setup Description       </w:t>
            </w:r>
          </w:p>
        </w:tc>
        <w:tc>
          <w:tcPr>
            <w:tcW w:w="6280" w:type="dxa"/>
            <w:tcBorders>
              <w:top w:val="single" w:sz="4" w:space="0" w:color="000000"/>
              <w:left w:val="single" w:sz="4" w:space="0" w:color="000000"/>
              <w:bottom w:val="single" w:sz="4" w:space="0" w:color="000000"/>
              <w:right w:val="single" w:sz="4" w:space="0" w:color="000000"/>
            </w:tcBorders>
          </w:tcPr>
          <w:p w14:paraId="02F3678E" w14:textId="77777777" w:rsidR="00570F82" w:rsidRPr="00834292" w:rsidRDefault="00B978D8">
            <w:pPr>
              <w:rPr>
                <w:b/>
                <w:bCs/>
                <w:u w:val="single"/>
              </w:rPr>
            </w:pPr>
            <w:r w:rsidRPr="00834292">
              <w:rPr>
                <w:b/>
                <w:bCs/>
                <w:u w:val="single"/>
              </w:rPr>
              <w:t>List of objects and their descriptions:</w:t>
            </w:r>
          </w:p>
          <w:p w14:paraId="3B089B98" w14:textId="442CA7AA" w:rsidR="00572465" w:rsidRDefault="00572465" w:rsidP="005C3AFB">
            <w:r>
              <w:t>Objects from the YCB Object Set are used for all manipulation patterns except for Squeeze. The Squeeze pattern uses a</w:t>
            </w:r>
            <w:r w:rsidR="00842C2D">
              <w:t xml:space="preserve"> 5 mL</w:t>
            </w:r>
            <w:r>
              <w:t xml:space="preserve"> syringe</w:t>
            </w:r>
            <w:r w:rsidR="00842C2D">
              <w:t xml:space="preserve">, which can easily be purchased from commercial </w:t>
            </w:r>
            <w:r w:rsidR="00836BC5">
              <w:t>vendors, such as Amazon.com</w:t>
            </w:r>
            <w:r>
              <w:t>.</w:t>
            </w:r>
          </w:p>
          <w:p w14:paraId="56348552" w14:textId="0D8BB838" w:rsidR="00F35AD5" w:rsidRDefault="00F35AD5" w:rsidP="00F35AD5">
            <w:pPr>
              <w:pStyle w:val="ListParagraph"/>
              <w:numPr>
                <w:ilvl w:val="0"/>
                <w:numId w:val="2"/>
              </w:numPr>
            </w:pPr>
            <w:r>
              <w:t>Pinch</w:t>
            </w:r>
            <w:r w:rsidR="00173603">
              <w:t xml:space="preserve"> (</w:t>
            </w:r>
            <w:r w:rsidR="00572465">
              <w:t>Bolt and Nut</w:t>
            </w:r>
            <w:r w:rsidR="00173603">
              <w:t>)</w:t>
            </w:r>
          </w:p>
          <w:p w14:paraId="37EB8929" w14:textId="45A10DEA" w:rsidR="00F35AD5" w:rsidRDefault="00F35AD5" w:rsidP="00F35AD5">
            <w:pPr>
              <w:pStyle w:val="ListParagraph"/>
              <w:numPr>
                <w:ilvl w:val="0"/>
                <w:numId w:val="2"/>
              </w:numPr>
            </w:pPr>
            <w:r>
              <w:t>Dynamic Tripod</w:t>
            </w:r>
            <w:r w:rsidR="00173603">
              <w:t xml:space="preserve"> (</w:t>
            </w:r>
            <w:r w:rsidR="00572465">
              <w:t>Small Marker</w:t>
            </w:r>
            <w:r w:rsidR="00173603">
              <w:t>)</w:t>
            </w:r>
          </w:p>
          <w:p w14:paraId="61F9B2B9" w14:textId="314BE3D6" w:rsidR="00F35AD5" w:rsidRDefault="00C36235" w:rsidP="00F35AD5">
            <w:pPr>
              <w:pStyle w:val="ListParagraph"/>
              <w:numPr>
                <w:ilvl w:val="0"/>
                <w:numId w:val="2"/>
              </w:numPr>
            </w:pPr>
            <w:r>
              <w:t>Squeeze (</w:t>
            </w:r>
            <w:r w:rsidR="00842C2D">
              <w:t xml:space="preserve">5 mL </w:t>
            </w:r>
            <w:r>
              <w:t>Syringe)</w:t>
            </w:r>
          </w:p>
          <w:p w14:paraId="434A5253" w14:textId="4000BEB2" w:rsidR="00F35AD5" w:rsidRDefault="00F35AD5" w:rsidP="00F35AD5">
            <w:pPr>
              <w:pStyle w:val="ListParagraph"/>
              <w:numPr>
                <w:ilvl w:val="0"/>
                <w:numId w:val="2"/>
              </w:numPr>
            </w:pPr>
            <w:r>
              <w:t>Twiddle</w:t>
            </w:r>
            <w:r w:rsidR="00C36235">
              <w:t xml:space="preserve"> (</w:t>
            </w:r>
            <w:r w:rsidR="00572465">
              <w:t>Bolt and Nut</w:t>
            </w:r>
            <w:r w:rsidR="00205E5D">
              <w:t>)</w:t>
            </w:r>
          </w:p>
          <w:p w14:paraId="1545224E" w14:textId="107ADE18" w:rsidR="00F35AD5" w:rsidRDefault="00F35AD5" w:rsidP="00F35AD5">
            <w:pPr>
              <w:pStyle w:val="ListParagraph"/>
              <w:numPr>
                <w:ilvl w:val="0"/>
                <w:numId w:val="2"/>
              </w:numPr>
            </w:pPr>
            <w:r>
              <w:t>Rock</w:t>
            </w:r>
            <w:r w:rsidR="00502277">
              <w:t xml:space="preserve"> (</w:t>
            </w:r>
            <w:r w:rsidR="00572465">
              <w:t xml:space="preserve">Cup – </w:t>
            </w:r>
            <w:r w:rsidR="00D06558">
              <w:t>yellow</w:t>
            </w:r>
            <w:r w:rsidR="00502277">
              <w:t>)</w:t>
            </w:r>
          </w:p>
          <w:p w14:paraId="1841D03F" w14:textId="3923D3C8" w:rsidR="00F35AD5" w:rsidRDefault="00F35AD5" w:rsidP="00F35AD5">
            <w:pPr>
              <w:pStyle w:val="ListParagraph"/>
              <w:numPr>
                <w:ilvl w:val="0"/>
                <w:numId w:val="2"/>
              </w:numPr>
            </w:pPr>
            <w:r>
              <w:t>Rock II</w:t>
            </w:r>
            <w:r w:rsidR="00502277">
              <w:t xml:space="preserve"> (</w:t>
            </w:r>
            <w:r w:rsidR="00572465">
              <w:t>Small Marker</w:t>
            </w:r>
            <w:r w:rsidR="00264EB6">
              <w:t>)</w:t>
            </w:r>
          </w:p>
          <w:p w14:paraId="2FDEC66C" w14:textId="3E7A3864" w:rsidR="00F35AD5" w:rsidRDefault="00F35AD5" w:rsidP="00F35AD5">
            <w:pPr>
              <w:pStyle w:val="ListParagraph"/>
              <w:numPr>
                <w:ilvl w:val="0"/>
                <w:numId w:val="2"/>
              </w:numPr>
            </w:pPr>
            <w:r>
              <w:t>Radial Roll</w:t>
            </w:r>
            <w:r w:rsidR="00264EB6">
              <w:t xml:space="preserve"> (</w:t>
            </w:r>
            <w:r w:rsidR="00572465">
              <w:t>Marble – green)</w:t>
            </w:r>
          </w:p>
          <w:p w14:paraId="106EE64B" w14:textId="01697253" w:rsidR="00F35AD5" w:rsidRDefault="00F35AD5" w:rsidP="00F35AD5">
            <w:pPr>
              <w:pStyle w:val="ListParagraph"/>
              <w:numPr>
                <w:ilvl w:val="0"/>
                <w:numId w:val="2"/>
              </w:numPr>
            </w:pPr>
            <w:r>
              <w:t>Index Roll</w:t>
            </w:r>
            <w:r w:rsidR="00995C93">
              <w:t xml:space="preserve"> </w:t>
            </w:r>
            <w:r w:rsidR="00644893">
              <w:t>(</w:t>
            </w:r>
            <w:r w:rsidR="00572465">
              <w:t>Marble – green</w:t>
            </w:r>
            <w:r w:rsidR="00644893">
              <w:t>)</w:t>
            </w:r>
          </w:p>
          <w:p w14:paraId="0985828C" w14:textId="78F50B3D" w:rsidR="00F35AD5" w:rsidRDefault="00F35AD5" w:rsidP="00F35AD5">
            <w:pPr>
              <w:pStyle w:val="ListParagraph"/>
              <w:numPr>
                <w:ilvl w:val="0"/>
                <w:numId w:val="2"/>
              </w:numPr>
            </w:pPr>
            <w:r>
              <w:t>Full Roll</w:t>
            </w:r>
            <w:r w:rsidR="00644893">
              <w:t xml:space="preserve"> (</w:t>
            </w:r>
            <w:r w:rsidR="00572465">
              <w:t>Wood Block</w:t>
            </w:r>
            <w:r w:rsidR="00644893">
              <w:t>)</w:t>
            </w:r>
          </w:p>
          <w:p w14:paraId="61EDEA48" w14:textId="1FBF9645" w:rsidR="00F35AD5" w:rsidRPr="001D771A" w:rsidRDefault="00F35AD5" w:rsidP="001D771A">
            <w:pPr>
              <w:pStyle w:val="ListParagraph"/>
              <w:numPr>
                <w:ilvl w:val="0"/>
                <w:numId w:val="2"/>
              </w:numPr>
            </w:pPr>
            <w:r>
              <w:t>Rotary Step</w:t>
            </w:r>
            <w:r w:rsidR="00644893">
              <w:t xml:space="preserve"> </w:t>
            </w:r>
            <w:r w:rsidR="001D771A">
              <w:t>(</w:t>
            </w:r>
            <w:r w:rsidR="00572465">
              <w:t xml:space="preserve">Cup – </w:t>
            </w:r>
            <w:r w:rsidR="00D06558">
              <w:t>yellow</w:t>
            </w:r>
            <w:r w:rsidR="001D771A">
              <w:t>)</w:t>
            </w:r>
          </w:p>
          <w:p w14:paraId="7F41B98C" w14:textId="673A442E" w:rsidR="00F35AD5" w:rsidRDefault="00F35AD5" w:rsidP="00F35AD5">
            <w:pPr>
              <w:pStyle w:val="ListParagraph"/>
              <w:numPr>
                <w:ilvl w:val="0"/>
                <w:numId w:val="2"/>
              </w:numPr>
            </w:pPr>
            <w:r>
              <w:t>Interdigital Step</w:t>
            </w:r>
            <w:r w:rsidR="001D771A">
              <w:t xml:space="preserve"> </w:t>
            </w:r>
            <w:r w:rsidR="00A537D6">
              <w:t>(</w:t>
            </w:r>
            <w:r w:rsidR="00572465">
              <w:t>Small Marker</w:t>
            </w:r>
            <w:r w:rsidR="000415DD">
              <w:t>)</w:t>
            </w:r>
          </w:p>
          <w:p w14:paraId="1778378F" w14:textId="0A6238D5" w:rsidR="00F35AD5" w:rsidRDefault="00F35AD5" w:rsidP="00F35AD5">
            <w:pPr>
              <w:pStyle w:val="ListParagraph"/>
              <w:numPr>
                <w:ilvl w:val="0"/>
                <w:numId w:val="2"/>
              </w:numPr>
            </w:pPr>
            <w:r>
              <w:t>Linear Step</w:t>
            </w:r>
            <w:r w:rsidR="00E52171">
              <w:t xml:space="preserve"> (</w:t>
            </w:r>
            <w:r w:rsidR="00572465">
              <w:t>Large Marker</w:t>
            </w:r>
            <w:r w:rsidR="00E52171">
              <w:t>)</w:t>
            </w:r>
          </w:p>
          <w:p w14:paraId="4ED8738C" w14:textId="6992FC02" w:rsidR="003E6D15" w:rsidRPr="00572465" w:rsidRDefault="00F35AD5" w:rsidP="003E6D15">
            <w:pPr>
              <w:pStyle w:val="ListParagraph"/>
              <w:numPr>
                <w:ilvl w:val="0"/>
                <w:numId w:val="2"/>
              </w:numPr>
            </w:pPr>
            <w:r>
              <w:t>Palmer Slide</w:t>
            </w:r>
            <w:r w:rsidR="00E52171">
              <w:t xml:space="preserve"> (</w:t>
            </w:r>
            <w:r w:rsidR="00572465">
              <w:t>Large Marker</w:t>
            </w:r>
            <w:r w:rsidR="00E52171">
              <w:t>)</w:t>
            </w:r>
          </w:p>
        </w:tc>
      </w:tr>
      <w:tr w:rsidR="00570F82" w14:paraId="11F176BB" w14:textId="77777777">
        <w:trPr>
          <w:trHeight w:val="760"/>
        </w:trPr>
        <w:tc>
          <w:tcPr>
            <w:tcW w:w="2576" w:type="dxa"/>
            <w:vMerge/>
            <w:tcBorders>
              <w:top w:val="single" w:sz="4" w:space="0" w:color="000000"/>
              <w:left w:val="single" w:sz="4" w:space="0" w:color="000000"/>
              <w:bottom w:val="single" w:sz="4" w:space="0" w:color="000000"/>
              <w:right w:val="single" w:sz="4" w:space="0" w:color="000000"/>
            </w:tcBorders>
          </w:tcPr>
          <w:p w14:paraId="00890AC3" w14:textId="77777777" w:rsidR="00570F82" w:rsidRDefault="00570F82"/>
        </w:tc>
        <w:tc>
          <w:tcPr>
            <w:tcW w:w="6280" w:type="dxa"/>
            <w:tcBorders>
              <w:top w:val="single" w:sz="4" w:space="0" w:color="000000"/>
              <w:left w:val="single" w:sz="4" w:space="0" w:color="000000"/>
              <w:bottom w:val="single" w:sz="4" w:space="0" w:color="000000"/>
              <w:right w:val="single" w:sz="4" w:space="0" w:color="000000"/>
            </w:tcBorders>
          </w:tcPr>
          <w:p w14:paraId="246E96B6" w14:textId="77777777" w:rsidR="00570F82" w:rsidRPr="00834292" w:rsidRDefault="00B978D8">
            <w:pPr>
              <w:rPr>
                <w:b/>
                <w:bCs/>
                <w:u w:val="single"/>
              </w:rPr>
            </w:pPr>
            <w:r w:rsidRPr="00834292">
              <w:rPr>
                <w:b/>
                <w:bCs/>
                <w:u w:val="single"/>
              </w:rPr>
              <w:t>Initial and target poses of the objects:</w:t>
            </w:r>
          </w:p>
          <w:p w14:paraId="3E18A241" w14:textId="51B52877" w:rsidR="001E2F86" w:rsidRDefault="001E2F86">
            <w:r>
              <w:t xml:space="preserve">There are </w:t>
            </w:r>
            <w:proofErr w:type="gramStart"/>
            <w:r>
              <w:t>no</w:t>
            </w:r>
            <w:proofErr w:type="gramEnd"/>
            <w:r>
              <w:t xml:space="preserve"> precisely “correct” initial or target poses for any of the manipulation patterns – rather, the experimenter is encouraged to refer to </w:t>
            </w:r>
            <w:r w:rsidRPr="001E2F86">
              <w:t>the descriptions and illustrations provided by Elliott and Connolly</w:t>
            </w:r>
            <w:r>
              <w:t xml:space="preserve">, </w:t>
            </w:r>
            <w:r w:rsidRPr="001E2F86">
              <w:t xml:space="preserve">as well as </w:t>
            </w:r>
            <w:r w:rsidR="002E1012">
              <w:t xml:space="preserve">the accompanying </w:t>
            </w:r>
            <w:r>
              <w:t>video of the human hand baseline</w:t>
            </w:r>
            <w:r w:rsidR="002E1012">
              <w:t>.</w:t>
            </w:r>
          </w:p>
          <w:p w14:paraId="1B1E8748" w14:textId="77777777" w:rsidR="001E2F86" w:rsidRDefault="001E2F86"/>
          <w:p w14:paraId="41987C9D" w14:textId="1C090B59" w:rsidR="004F36A9" w:rsidRDefault="001E2F86">
            <w:r>
              <w:t xml:space="preserve">Since </w:t>
            </w:r>
            <w:r w:rsidRPr="001E2F86">
              <w:t xml:space="preserve">the dexterity of the </w:t>
            </w:r>
            <w:r>
              <w:t>robot</w:t>
            </w:r>
            <w:r w:rsidRPr="001E2F86">
              <w:t xml:space="preserve"> is being evaluated in part based on the </w:t>
            </w:r>
            <w:r w:rsidRPr="001E2F86">
              <w:rPr>
                <w:i/>
                <w:iCs/>
              </w:rPr>
              <w:t>Average Normalized Translation</w:t>
            </w:r>
            <w:r w:rsidRPr="001E2F86">
              <w:t xml:space="preserve"> or </w:t>
            </w:r>
            <w:r w:rsidRPr="001E2F86">
              <w:rPr>
                <w:i/>
                <w:iCs/>
              </w:rPr>
              <w:t>Average Rotation</w:t>
            </w:r>
            <w:r w:rsidRPr="001E2F86">
              <w:t xml:space="preserve"> achieved for each manipulation pattern, experimenters are encouraged to select target poses which maximize these metrics, while still adhering to the </w:t>
            </w:r>
            <w:r>
              <w:t>provided criteria.</w:t>
            </w:r>
            <w:r w:rsidR="000D266D">
              <w:t xml:space="preserve"> </w:t>
            </w:r>
          </w:p>
        </w:tc>
      </w:tr>
      <w:tr w:rsidR="00570F82" w14:paraId="1E83FA92" w14:textId="77777777" w:rsidTr="00834292">
        <w:trPr>
          <w:trHeight w:val="701"/>
        </w:trPr>
        <w:tc>
          <w:tcPr>
            <w:tcW w:w="2576" w:type="dxa"/>
            <w:vMerge/>
            <w:tcBorders>
              <w:top w:val="single" w:sz="4" w:space="0" w:color="000000"/>
              <w:left w:val="single" w:sz="4" w:space="0" w:color="000000"/>
              <w:bottom w:val="single" w:sz="4" w:space="0" w:color="000000"/>
              <w:right w:val="single" w:sz="4" w:space="0" w:color="000000"/>
            </w:tcBorders>
          </w:tcPr>
          <w:p w14:paraId="77649E13" w14:textId="77777777" w:rsidR="00570F82" w:rsidRDefault="00570F82"/>
        </w:tc>
        <w:tc>
          <w:tcPr>
            <w:tcW w:w="6280" w:type="dxa"/>
            <w:tcBorders>
              <w:top w:val="single" w:sz="4" w:space="0" w:color="000000"/>
              <w:left w:val="single" w:sz="4" w:space="0" w:color="000000"/>
              <w:bottom w:val="single" w:sz="4" w:space="0" w:color="000000"/>
              <w:right w:val="single" w:sz="4" w:space="0" w:color="000000"/>
            </w:tcBorders>
          </w:tcPr>
          <w:p w14:paraId="6A113D4E" w14:textId="77777777" w:rsidR="00570F82" w:rsidRPr="00834292" w:rsidRDefault="00B978D8">
            <w:pPr>
              <w:rPr>
                <w:b/>
                <w:bCs/>
                <w:u w:val="single"/>
              </w:rPr>
            </w:pPr>
            <w:r w:rsidRPr="00834292">
              <w:rPr>
                <w:b/>
                <w:bCs/>
                <w:u w:val="single"/>
              </w:rPr>
              <w:t>Description of the manipulation environment:</w:t>
            </w:r>
          </w:p>
          <w:p w14:paraId="0B1E0DB1" w14:textId="77777777" w:rsidR="00A577C3" w:rsidRDefault="00834292">
            <w:r>
              <w:t>There are no specific requirements for the manipulation environment.</w:t>
            </w:r>
          </w:p>
          <w:p w14:paraId="3269C3A9" w14:textId="12275CC1" w:rsidR="00CB141D" w:rsidRDefault="00CB141D"/>
        </w:tc>
      </w:tr>
      <w:tr w:rsidR="00570F82" w14:paraId="16436116" w14:textId="77777777" w:rsidTr="00834292">
        <w:trPr>
          <w:trHeight w:val="413"/>
        </w:trPr>
        <w:tc>
          <w:tcPr>
            <w:tcW w:w="2576" w:type="dxa"/>
            <w:vMerge w:val="restart"/>
            <w:tcBorders>
              <w:top w:val="single" w:sz="4" w:space="0" w:color="000000"/>
              <w:left w:val="single" w:sz="4" w:space="0" w:color="000000"/>
              <w:bottom w:val="single" w:sz="4" w:space="0" w:color="000000"/>
              <w:right w:val="single" w:sz="4" w:space="0" w:color="000000"/>
            </w:tcBorders>
          </w:tcPr>
          <w:p w14:paraId="48307427" w14:textId="77777777" w:rsidR="00570F82" w:rsidRDefault="00B978D8">
            <w:r>
              <w:t>Robot/Hardware/Software/Subject Description</w:t>
            </w:r>
          </w:p>
        </w:tc>
        <w:tc>
          <w:tcPr>
            <w:tcW w:w="6280" w:type="dxa"/>
            <w:tcBorders>
              <w:top w:val="single" w:sz="4" w:space="0" w:color="000000"/>
              <w:left w:val="single" w:sz="4" w:space="0" w:color="000000"/>
              <w:bottom w:val="single" w:sz="4" w:space="0" w:color="000000"/>
              <w:right w:val="single" w:sz="4" w:space="0" w:color="000000"/>
            </w:tcBorders>
          </w:tcPr>
          <w:p w14:paraId="05E4D017" w14:textId="77777777" w:rsidR="00570F82" w:rsidRPr="00834292" w:rsidRDefault="00B978D8">
            <w:pPr>
              <w:rPr>
                <w:b/>
                <w:bCs/>
                <w:u w:val="single"/>
              </w:rPr>
            </w:pPr>
            <w:r w:rsidRPr="00834292">
              <w:rPr>
                <w:b/>
                <w:bCs/>
                <w:u w:val="single"/>
              </w:rPr>
              <w:t>Targeted robots/hardware/software:</w:t>
            </w:r>
          </w:p>
          <w:p w14:paraId="44BFD8BD" w14:textId="77777777" w:rsidR="001822A7" w:rsidRDefault="00834292">
            <w:r>
              <w:t>Any robot may be used to complete this benchmark.</w:t>
            </w:r>
          </w:p>
          <w:p w14:paraId="360FC69E" w14:textId="52CE05C3" w:rsidR="00CB141D" w:rsidRPr="00AF6388" w:rsidRDefault="00CB141D"/>
        </w:tc>
      </w:tr>
      <w:tr w:rsidR="00570F82" w14:paraId="78B0423C" w14:textId="77777777" w:rsidTr="00834292">
        <w:trPr>
          <w:trHeight w:val="296"/>
        </w:trPr>
        <w:tc>
          <w:tcPr>
            <w:tcW w:w="2576" w:type="dxa"/>
            <w:vMerge/>
            <w:tcBorders>
              <w:top w:val="single" w:sz="4" w:space="0" w:color="000000"/>
              <w:left w:val="single" w:sz="4" w:space="0" w:color="000000"/>
              <w:bottom w:val="single" w:sz="4" w:space="0" w:color="000000"/>
              <w:right w:val="single" w:sz="4" w:space="0" w:color="000000"/>
            </w:tcBorders>
          </w:tcPr>
          <w:p w14:paraId="31F0399F" w14:textId="77777777" w:rsidR="00570F82" w:rsidRDefault="00570F82"/>
        </w:tc>
        <w:tc>
          <w:tcPr>
            <w:tcW w:w="6280" w:type="dxa"/>
            <w:tcBorders>
              <w:top w:val="single" w:sz="4" w:space="0" w:color="000000"/>
              <w:left w:val="single" w:sz="4" w:space="0" w:color="000000"/>
              <w:bottom w:val="single" w:sz="4" w:space="0" w:color="000000"/>
              <w:right w:val="single" w:sz="4" w:space="0" w:color="000000"/>
            </w:tcBorders>
          </w:tcPr>
          <w:p w14:paraId="67DF5E2E" w14:textId="77777777" w:rsidR="00570F82" w:rsidRPr="00834292" w:rsidRDefault="00B978D8">
            <w:pPr>
              <w:rPr>
                <w:b/>
                <w:bCs/>
                <w:u w:val="single"/>
              </w:rPr>
            </w:pPr>
            <w:r w:rsidRPr="00834292">
              <w:rPr>
                <w:b/>
                <w:bCs/>
                <w:u w:val="single"/>
              </w:rPr>
              <w:t>Initial state of the robot/hardware/subject with respect to the setup:</w:t>
            </w:r>
          </w:p>
          <w:p w14:paraId="5C3F6274" w14:textId="77777777" w:rsidR="00F714AE" w:rsidRDefault="00834292" w:rsidP="004532F9">
            <w:r>
              <w:t>No initial state is specified for this benchmark.</w:t>
            </w:r>
          </w:p>
          <w:p w14:paraId="7F2CE73E" w14:textId="0EEAAEC5" w:rsidR="00CB141D" w:rsidRDefault="00CB141D" w:rsidP="004532F9"/>
        </w:tc>
      </w:tr>
      <w:tr w:rsidR="00570F82" w14:paraId="59D98A77" w14:textId="77777777" w:rsidTr="00485589">
        <w:trPr>
          <w:trHeight w:val="170"/>
        </w:trPr>
        <w:tc>
          <w:tcPr>
            <w:tcW w:w="2576" w:type="dxa"/>
            <w:vMerge/>
            <w:tcBorders>
              <w:top w:val="single" w:sz="4" w:space="0" w:color="000000"/>
              <w:left w:val="single" w:sz="4" w:space="0" w:color="000000"/>
              <w:bottom w:val="single" w:sz="4" w:space="0" w:color="000000"/>
              <w:right w:val="single" w:sz="4" w:space="0" w:color="000000"/>
            </w:tcBorders>
          </w:tcPr>
          <w:p w14:paraId="1CE9FCCC" w14:textId="77777777" w:rsidR="00570F82" w:rsidRDefault="00570F82"/>
        </w:tc>
        <w:tc>
          <w:tcPr>
            <w:tcW w:w="6280" w:type="dxa"/>
            <w:tcBorders>
              <w:top w:val="single" w:sz="4" w:space="0" w:color="000000"/>
              <w:left w:val="single" w:sz="4" w:space="0" w:color="000000"/>
              <w:bottom w:val="single" w:sz="4" w:space="0" w:color="000000"/>
              <w:right w:val="single" w:sz="4" w:space="0" w:color="000000"/>
            </w:tcBorders>
          </w:tcPr>
          <w:p w14:paraId="5793E178" w14:textId="77777777" w:rsidR="00570F82" w:rsidRPr="00834292" w:rsidRDefault="00B978D8">
            <w:pPr>
              <w:rPr>
                <w:b/>
                <w:bCs/>
                <w:u w:val="single"/>
              </w:rPr>
            </w:pPr>
            <w:r w:rsidRPr="00834292">
              <w:rPr>
                <w:b/>
                <w:bCs/>
                <w:u w:val="single"/>
              </w:rPr>
              <w:t>Prior information provided to the robot:</w:t>
            </w:r>
          </w:p>
          <w:p w14:paraId="4A9D5DE1" w14:textId="74B6436F" w:rsidR="00300BC4" w:rsidRDefault="00834292">
            <w:r>
              <w:t>No prior information mu</w:t>
            </w:r>
            <w:r w:rsidR="006C6C05">
              <w:t>s</w:t>
            </w:r>
            <w:r>
              <w:t>t be provided to the robot.</w:t>
            </w:r>
          </w:p>
          <w:p w14:paraId="5F3D9DBF" w14:textId="06B0E066" w:rsidR="00CB141D" w:rsidRDefault="00CB141D"/>
        </w:tc>
      </w:tr>
      <w:tr w:rsidR="00570F82" w14:paraId="7DC28D09" w14:textId="77777777" w:rsidTr="0006172F">
        <w:trPr>
          <w:trHeight w:val="260"/>
        </w:trPr>
        <w:tc>
          <w:tcPr>
            <w:tcW w:w="2576" w:type="dxa"/>
            <w:tcBorders>
              <w:top w:val="single" w:sz="4" w:space="0" w:color="000000"/>
              <w:left w:val="single" w:sz="4" w:space="0" w:color="000000"/>
              <w:bottom w:val="single" w:sz="4" w:space="0" w:color="000000"/>
              <w:right w:val="single" w:sz="4" w:space="0" w:color="000000"/>
            </w:tcBorders>
          </w:tcPr>
          <w:p w14:paraId="09A1EE85" w14:textId="77777777" w:rsidR="00570F82" w:rsidRDefault="00B978D8">
            <w:r>
              <w:t>Procedure</w:t>
            </w:r>
          </w:p>
        </w:tc>
        <w:tc>
          <w:tcPr>
            <w:tcW w:w="6280" w:type="dxa"/>
            <w:tcBorders>
              <w:top w:val="single" w:sz="4" w:space="0" w:color="000000"/>
              <w:left w:val="single" w:sz="4" w:space="0" w:color="000000"/>
              <w:bottom w:val="single" w:sz="4" w:space="0" w:color="000000"/>
              <w:right w:val="single" w:sz="4" w:space="0" w:color="000000"/>
            </w:tcBorders>
          </w:tcPr>
          <w:p w14:paraId="488912D3" w14:textId="77777777" w:rsidR="00B76AFB" w:rsidRDefault="00183E69">
            <w:r w:rsidRPr="00183E69">
              <w:rPr>
                <w:u w:val="single"/>
              </w:rPr>
              <w:t>Step 1</w:t>
            </w:r>
            <w:r>
              <w:t>:</w:t>
            </w:r>
            <w:r w:rsidRPr="00183E69">
              <w:t xml:space="preserve"> </w:t>
            </w:r>
            <w:r>
              <w:t>M</w:t>
            </w:r>
            <w:r w:rsidRPr="00183E69">
              <w:t>easure the average finger length of the robot hand being used. This can be achieved by attaching threads to the fingertips of the robot and extending the threads towards the palm. The threads are then cut where they all intersect (defined as the center of the palm), and their resultant lengths are measured and averaged.</w:t>
            </w:r>
          </w:p>
          <w:p w14:paraId="299E5AD3" w14:textId="77777777" w:rsidR="00183E69" w:rsidRDefault="00183E69"/>
          <w:p w14:paraId="5958C699" w14:textId="78444C64" w:rsidR="00183E69" w:rsidRDefault="00183E69">
            <w:r w:rsidRPr="00183E69">
              <w:rPr>
                <w:u w:val="single"/>
              </w:rPr>
              <w:t>Step 2</w:t>
            </w:r>
            <w:r>
              <w:t xml:space="preserve">: Attach </w:t>
            </w:r>
            <w:proofErr w:type="spellStart"/>
            <w:r>
              <w:t>AprilTags</w:t>
            </w:r>
            <w:proofErr w:type="spellEnd"/>
            <w:r>
              <w:t xml:space="preserve"> to each object. </w:t>
            </w:r>
            <w:r w:rsidRPr="00183E69">
              <w:t xml:space="preserve">In most cases, </w:t>
            </w:r>
            <w:proofErr w:type="spellStart"/>
            <w:r w:rsidRPr="00183E69">
              <w:t>AprilTags</w:t>
            </w:r>
            <w:proofErr w:type="spellEnd"/>
            <w:r w:rsidRPr="00183E69">
              <w:t xml:space="preserve"> can be attached to objects in a way that allows them to be manipulated without causing interference</w:t>
            </w:r>
            <w:r>
              <w:t xml:space="preserve">. </w:t>
            </w:r>
            <w:r w:rsidRPr="00183E69">
              <w:t xml:space="preserve">The Marble is an exception. In order to attach </w:t>
            </w:r>
            <w:proofErr w:type="spellStart"/>
            <w:r w:rsidRPr="00183E69">
              <w:t>AprilTags</w:t>
            </w:r>
            <w:proofErr w:type="spellEnd"/>
            <w:r w:rsidRPr="00183E69">
              <w:t xml:space="preserve"> to this object without causing interference, attach a </w:t>
            </w:r>
            <w:r w:rsidR="00B56AF3">
              <w:t>b</w:t>
            </w:r>
            <w:r w:rsidRPr="00183E69">
              <w:t>olt</w:t>
            </w:r>
            <w:r w:rsidR="00B56AF3">
              <w:t xml:space="preserve"> (from YCB Object Set)</w:t>
            </w:r>
            <w:r w:rsidRPr="00183E69">
              <w:t xml:space="preserve"> to the marble and then attach the </w:t>
            </w:r>
            <w:proofErr w:type="spellStart"/>
            <w:r w:rsidRPr="00183E69">
              <w:t>AprilTag</w:t>
            </w:r>
            <w:proofErr w:type="spellEnd"/>
            <w:r w:rsidRPr="00183E69">
              <w:t xml:space="preserve"> to the end of the bolt. Another bolt is attached to the opposite side of the marble in order to balance the weight. In the case of the Rock II and Interdigital Step manipulation patterns, no </w:t>
            </w:r>
            <w:proofErr w:type="spellStart"/>
            <w:r w:rsidRPr="00183E69">
              <w:t>AprilTag</w:t>
            </w:r>
            <w:proofErr w:type="spellEnd"/>
            <w:r w:rsidRPr="00183E69">
              <w:t xml:space="preserve"> is needed since the tilt angle of the marker can be measured directly. Additionally, no </w:t>
            </w:r>
            <w:proofErr w:type="spellStart"/>
            <w:r w:rsidRPr="00183E69">
              <w:t>AprilTag</w:t>
            </w:r>
            <w:proofErr w:type="spellEnd"/>
            <w:r w:rsidRPr="00183E69">
              <w:t xml:space="preserve"> is required for Squeeze since linear displacement of the syringe plunger can be directly measured.</w:t>
            </w:r>
          </w:p>
          <w:p w14:paraId="30ACEFB9" w14:textId="77777777" w:rsidR="00183E69" w:rsidRDefault="00183E69"/>
          <w:p w14:paraId="463043C9" w14:textId="142C83EF" w:rsidR="0006172F" w:rsidRDefault="00183E69">
            <w:r w:rsidRPr="00183E69">
              <w:rPr>
                <w:u w:val="single"/>
              </w:rPr>
              <w:t>Step 3</w:t>
            </w:r>
            <w:r>
              <w:t xml:space="preserve">: Perform each manipulation pattern. Start with the robot configured in the desired initial pose and the object in the grasp of the </w:t>
            </w:r>
            <w:r w:rsidR="0006172F">
              <w:t>robot</w:t>
            </w:r>
            <w:r>
              <w:t>. T</w:t>
            </w:r>
            <w:r w:rsidRPr="00183E69">
              <w:t xml:space="preserve">he manipulation begins as soon as the </w:t>
            </w:r>
            <w:r>
              <w:t>robot</w:t>
            </w:r>
            <w:r w:rsidRPr="00183E69">
              <w:t xml:space="preserve"> moves out of its initial </w:t>
            </w:r>
            <w:proofErr w:type="gramStart"/>
            <w:r w:rsidRPr="00183E69">
              <w:t>pose, and</w:t>
            </w:r>
            <w:proofErr w:type="gramEnd"/>
            <w:r w:rsidRPr="00183E69">
              <w:t xml:space="preserve"> lasts until the </w:t>
            </w:r>
            <w:r>
              <w:t>robot</w:t>
            </w:r>
            <w:r w:rsidRPr="00183E69">
              <w:t xml:space="preserve"> reaches its target pose.</w:t>
            </w:r>
            <w:r>
              <w:t xml:space="preserve"> </w:t>
            </w:r>
            <w:r w:rsidRPr="00183E69">
              <w:t xml:space="preserve">During each manipulation, </w:t>
            </w:r>
            <w:r w:rsidR="00886C9C">
              <w:t>a</w:t>
            </w:r>
            <w:r w:rsidRPr="00183E69">
              <w:t xml:space="preserve"> camera records the rotation and </w:t>
            </w:r>
            <w:r w:rsidRPr="00183E69">
              <w:lastRenderedPageBreak/>
              <w:t xml:space="preserve">translation of the </w:t>
            </w:r>
            <w:proofErr w:type="spellStart"/>
            <w:r w:rsidRPr="00183E69">
              <w:t>AprilTag</w:t>
            </w:r>
            <w:proofErr w:type="spellEnd"/>
            <w:r w:rsidR="0006172F">
              <w:t xml:space="preserve"> (when applicable)</w:t>
            </w:r>
            <w:r w:rsidRPr="00183E69">
              <w:t>. The resultant data must then be analyzed in order to determine a value for rotation or translation about a particular hand coordinate axis. In some cases, a single pattern may involve both translation and rotation</w:t>
            </w:r>
            <w:r w:rsidR="00D53C58">
              <w:t xml:space="preserve">. </w:t>
            </w:r>
            <w:r w:rsidRPr="00183E69">
              <w:t>Each manipulation must be repeated at least three times in order to calculate a mean and standard deviation from the data.</w:t>
            </w:r>
            <w:r w:rsidR="00D53C58">
              <w:t xml:space="preserve"> E</w:t>
            </w:r>
            <w:r w:rsidR="00D53C58" w:rsidRPr="00D53C58">
              <w:t>ach manipulation pattern can be repeated as many times as necessary in order to achieve at least three successful trials - there is no need to record individual failed trials.</w:t>
            </w:r>
          </w:p>
          <w:p w14:paraId="157F7664" w14:textId="77777777" w:rsidR="0006172F" w:rsidRDefault="0006172F"/>
          <w:p w14:paraId="24481E63" w14:textId="34BDB12F" w:rsidR="0006172F" w:rsidRPr="0006172F" w:rsidRDefault="0006172F">
            <w:r w:rsidRPr="0006172F">
              <w:rPr>
                <w:u w:val="single"/>
              </w:rPr>
              <w:t>Step 4</w:t>
            </w:r>
            <w:r>
              <w:rPr>
                <w:u w:val="single"/>
              </w:rPr>
              <w:t xml:space="preserve"> (optional)</w:t>
            </w:r>
            <w:r>
              <w:t xml:space="preserve">: Repeat Step 3 with a human hand. If attempted, it makes sense to complete this step </w:t>
            </w:r>
            <w:r w:rsidRPr="0006172F">
              <w:rPr>
                <w:i/>
                <w:iCs/>
              </w:rPr>
              <w:t>prior</w:t>
            </w:r>
            <w:r>
              <w:t xml:space="preserve"> to Step 3, since intuition gained from testing with the human hand can be applied when testing with the robot hand.</w:t>
            </w:r>
          </w:p>
        </w:tc>
      </w:tr>
      <w:tr w:rsidR="00570F82" w14:paraId="6EEF50C5" w14:textId="77777777">
        <w:trPr>
          <w:trHeight w:val="940"/>
        </w:trPr>
        <w:tc>
          <w:tcPr>
            <w:tcW w:w="2576" w:type="dxa"/>
            <w:tcBorders>
              <w:top w:val="single" w:sz="4" w:space="0" w:color="000000"/>
              <w:left w:val="single" w:sz="4" w:space="0" w:color="000000"/>
              <w:bottom w:val="single" w:sz="4" w:space="0" w:color="000000"/>
              <w:right w:val="single" w:sz="4" w:space="0" w:color="000000"/>
            </w:tcBorders>
          </w:tcPr>
          <w:p w14:paraId="2BA980A4" w14:textId="77777777" w:rsidR="00570F82" w:rsidRDefault="00B978D8">
            <w:r>
              <w:lastRenderedPageBreak/>
              <w:t>Execution Constraints</w:t>
            </w:r>
          </w:p>
        </w:tc>
        <w:tc>
          <w:tcPr>
            <w:tcW w:w="6280" w:type="dxa"/>
            <w:tcBorders>
              <w:top w:val="single" w:sz="4" w:space="0" w:color="000000"/>
              <w:left w:val="single" w:sz="4" w:space="0" w:color="000000"/>
              <w:bottom w:val="single" w:sz="4" w:space="0" w:color="000000"/>
              <w:right w:val="single" w:sz="4" w:space="0" w:color="000000"/>
            </w:tcBorders>
          </w:tcPr>
          <w:p w14:paraId="20B8DC7C" w14:textId="07A3A9CB" w:rsidR="005B43B1" w:rsidRDefault="00DC6A52" w:rsidP="00A41E07">
            <w:r>
              <w:t xml:space="preserve">The experimenter is permitted to adjust initial contacts between the robot and the object </w:t>
            </w:r>
            <w:r w:rsidRPr="0043127D">
              <w:t>prior</w:t>
            </w:r>
            <w:r>
              <w:t xml:space="preserve"> to the execution of a manipulation pattern. However, no intervention from the experimenter</w:t>
            </w:r>
            <w:r w:rsidR="00605C5B">
              <w:t xml:space="preserve"> is permitted</w:t>
            </w:r>
            <w:r>
              <w:t xml:space="preserve"> during execution of </w:t>
            </w:r>
            <w:r w:rsidR="00605C5B">
              <w:t>a</w:t>
            </w:r>
            <w:r>
              <w:t xml:space="preserve"> manipulation pattern.</w:t>
            </w:r>
          </w:p>
        </w:tc>
      </w:tr>
    </w:tbl>
    <w:p w14:paraId="6DFA7998" w14:textId="77777777" w:rsidR="00570F82" w:rsidRDefault="00570F82"/>
    <w:sectPr w:rsidR="00570F82">
      <w:pgSz w:w="12240" w:h="15840"/>
      <w:pgMar w:top="1440" w:right="1800" w:bottom="144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F40EB"/>
    <w:multiLevelType w:val="hybridMultilevel"/>
    <w:tmpl w:val="1140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CD0ED3"/>
    <w:multiLevelType w:val="hybridMultilevel"/>
    <w:tmpl w:val="11403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5864E2"/>
    <w:multiLevelType w:val="hybridMultilevel"/>
    <w:tmpl w:val="4FA27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6754366">
    <w:abstractNumId w:val="1"/>
  </w:num>
  <w:num w:numId="2" w16cid:durableId="639308661">
    <w:abstractNumId w:val="0"/>
  </w:num>
  <w:num w:numId="3" w16cid:durableId="1173842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570F82"/>
    <w:rsid w:val="00021432"/>
    <w:rsid w:val="00023982"/>
    <w:rsid w:val="00023F39"/>
    <w:rsid w:val="000240C6"/>
    <w:rsid w:val="000300E4"/>
    <w:rsid w:val="000316E4"/>
    <w:rsid w:val="00036ADF"/>
    <w:rsid w:val="000415DD"/>
    <w:rsid w:val="00042867"/>
    <w:rsid w:val="00052B85"/>
    <w:rsid w:val="00054928"/>
    <w:rsid w:val="0005563E"/>
    <w:rsid w:val="0006172F"/>
    <w:rsid w:val="00065AF0"/>
    <w:rsid w:val="000747D2"/>
    <w:rsid w:val="00076D90"/>
    <w:rsid w:val="00080A14"/>
    <w:rsid w:val="000812D9"/>
    <w:rsid w:val="000919F6"/>
    <w:rsid w:val="00095A24"/>
    <w:rsid w:val="000A518C"/>
    <w:rsid w:val="000A67AB"/>
    <w:rsid w:val="000C4742"/>
    <w:rsid w:val="000C6F14"/>
    <w:rsid w:val="000D266D"/>
    <w:rsid w:val="000E7C61"/>
    <w:rsid w:val="000F3F2B"/>
    <w:rsid w:val="00103016"/>
    <w:rsid w:val="00111A9F"/>
    <w:rsid w:val="00112467"/>
    <w:rsid w:val="00113BFF"/>
    <w:rsid w:val="001146DF"/>
    <w:rsid w:val="001165FB"/>
    <w:rsid w:val="001303D1"/>
    <w:rsid w:val="0013357D"/>
    <w:rsid w:val="00147630"/>
    <w:rsid w:val="00151524"/>
    <w:rsid w:val="00152499"/>
    <w:rsid w:val="001528DF"/>
    <w:rsid w:val="00157BDA"/>
    <w:rsid w:val="00173603"/>
    <w:rsid w:val="001762E5"/>
    <w:rsid w:val="001822A7"/>
    <w:rsid w:val="00183E69"/>
    <w:rsid w:val="00187C12"/>
    <w:rsid w:val="00193F91"/>
    <w:rsid w:val="001942AA"/>
    <w:rsid w:val="001971B7"/>
    <w:rsid w:val="001A5746"/>
    <w:rsid w:val="001A7120"/>
    <w:rsid w:val="001A740B"/>
    <w:rsid w:val="001B0BD5"/>
    <w:rsid w:val="001B3537"/>
    <w:rsid w:val="001B3641"/>
    <w:rsid w:val="001B4BDC"/>
    <w:rsid w:val="001B4C79"/>
    <w:rsid w:val="001C7261"/>
    <w:rsid w:val="001D2D8D"/>
    <w:rsid w:val="001D771A"/>
    <w:rsid w:val="001D7A67"/>
    <w:rsid w:val="001E2F86"/>
    <w:rsid w:val="001F313F"/>
    <w:rsid w:val="001F319D"/>
    <w:rsid w:val="001F6C23"/>
    <w:rsid w:val="00205E5D"/>
    <w:rsid w:val="00225856"/>
    <w:rsid w:val="00231FCC"/>
    <w:rsid w:val="00234179"/>
    <w:rsid w:val="00234E84"/>
    <w:rsid w:val="0024333F"/>
    <w:rsid w:val="00254ACA"/>
    <w:rsid w:val="00263DF7"/>
    <w:rsid w:val="00264EB6"/>
    <w:rsid w:val="00270D48"/>
    <w:rsid w:val="00273D2F"/>
    <w:rsid w:val="00273DD8"/>
    <w:rsid w:val="002766E4"/>
    <w:rsid w:val="00286D76"/>
    <w:rsid w:val="00290018"/>
    <w:rsid w:val="002909AB"/>
    <w:rsid w:val="00291349"/>
    <w:rsid w:val="002A5276"/>
    <w:rsid w:val="002B19BA"/>
    <w:rsid w:val="002D3155"/>
    <w:rsid w:val="002E1012"/>
    <w:rsid w:val="002E7F7B"/>
    <w:rsid w:val="00300BC4"/>
    <w:rsid w:val="00304776"/>
    <w:rsid w:val="00305DFC"/>
    <w:rsid w:val="003062CB"/>
    <w:rsid w:val="00313743"/>
    <w:rsid w:val="00314AA0"/>
    <w:rsid w:val="00320441"/>
    <w:rsid w:val="0032393E"/>
    <w:rsid w:val="00332343"/>
    <w:rsid w:val="00340870"/>
    <w:rsid w:val="00351045"/>
    <w:rsid w:val="0035541E"/>
    <w:rsid w:val="00355767"/>
    <w:rsid w:val="0037224E"/>
    <w:rsid w:val="00385AE7"/>
    <w:rsid w:val="003A03AF"/>
    <w:rsid w:val="003A3AEF"/>
    <w:rsid w:val="003A60A0"/>
    <w:rsid w:val="003A6234"/>
    <w:rsid w:val="003A76AD"/>
    <w:rsid w:val="003B3881"/>
    <w:rsid w:val="003B75FE"/>
    <w:rsid w:val="003C111A"/>
    <w:rsid w:val="003E0A34"/>
    <w:rsid w:val="003E6D15"/>
    <w:rsid w:val="003E7F4B"/>
    <w:rsid w:val="00406195"/>
    <w:rsid w:val="00415841"/>
    <w:rsid w:val="00420579"/>
    <w:rsid w:val="0043127D"/>
    <w:rsid w:val="00445B22"/>
    <w:rsid w:val="00447CD6"/>
    <w:rsid w:val="004532F9"/>
    <w:rsid w:val="004552FD"/>
    <w:rsid w:val="00462B8E"/>
    <w:rsid w:val="00465AEB"/>
    <w:rsid w:val="0046742F"/>
    <w:rsid w:val="0047135C"/>
    <w:rsid w:val="004769DC"/>
    <w:rsid w:val="00485589"/>
    <w:rsid w:val="00486330"/>
    <w:rsid w:val="004937D9"/>
    <w:rsid w:val="004A7FF1"/>
    <w:rsid w:val="004B151E"/>
    <w:rsid w:val="004B6F7F"/>
    <w:rsid w:val="004C1C8B"/>
    <w:rsid w:val="004C6DA0"/>
    <w:rsid w:val="004D119F"/>
    <w:rsid w:val="004D412C"/>
    <w:rsid w:val="004D48C4"/>
    <w:rsid w:val="004D527A"/>
    <w:rsid w:val="004F0352"/>
    <w:rsid w:val="004F0CD3"/>
    <w:rsid w:val="004F36A9"/>
    <w:rsid w:val="004F409A"/>
    <w:rsid w:val="004F5AA1"/>
    <w:rsid w:val="004F63F1"/>
    <w:rsid w:val="004F6E4E"/>
    <w:rsid w:val="005016D2"/>
    <w:rsid w:val="00502277"/>
    <w:rsid w:val="00503091"/>
    <w:rsid w:val="00514642"/>
    <w:rsid w:val="0051591D"/>
    <w:rsid w:val="0051631D"/>
    <w:rsid w:val="00520C7E"/>
    <w:rsid w:val="00525F50"/>
    <w:rsid w:val="00526274"/>
    <w:rsid w:val="005269AE"/>
    <w:rsid w:val="005346E7"/>
    <w:rsid w:val="0053623E"/>
    <w:rsid w:val="0053645A"/>
    <w:rsid w:val="0054077B"/>
    <w:rsid w:val="00541B76"/>
    <w:rsid w:val="00552E91"/>
    <w:rsid w:val="00564033"/>
    <w:rsid w:val="00570F82"/>
    <w:rsid w:val="00572465"/>
    <w:rsid w:val="005830E7"/>
    <w:rsid w:val="00585678"/>
    <w:rsid w:val="005870ED"/>
    <w:rsid w:val="005A5E16"/>
    <w:rsid w:val="005B2EEB"/>
    <w:rsid w:val="005B3110"/>
    <w:rsid w:val="005B3EA8"/>
    <w:rsid w:val="005B43B1"/>
    <w:rsid w:val="005B4DBB"/>
    <w:rsid w:val="005B6845"/>
    <w:rsid w:val="005B6987"/>
    <w:rsid w:val="005C3AFB"/>
    <w:rsid w:val="005D5F72"/>
    <w:rsid w:val="005E1FCD"/>
    <w:rsid w:val="005F03B9"/>
    <w:rsid w:val="006044A1"/>
    <w:rsid w:val="00605C5B"/>
    <w:rsid w:val="00615809"/>
    <w:rsid w:val="006260DA"/>
    <w:rsid w:val="0063083A"/>
    <w:rsid w:val="006314BD"/>
    <w:rsid w:val="00644893"/>
    <w:rsid w:val="00644E45"/>
    <w:rsid w:val="00645B5D"/>
    <w:rsid w:val="00663C22"/>
    <w:rsid w:val="0068155B"/>
    <w:rsid w:val="00684369"/>
    <w:rsid w:val="00687882"/>
    <w:rsid w:val="00687EA4"/>
    <w:rsid w:val="00690A33"/>
    <w:rsid w:val="00692E5F"/>
    <w:rsid w:val="00695B79"/>
    <w:rsid w:val="00696D2F"/>
    <w:rsid w:val="006B03FE"/>
    <w:rsid w:val="006B0B76"/>
    <w:rsid w:val="006B1D86"/>
    <w:rsid w:val="006B68DE"/>
    <w:rsid w:val="006C4812"/>
    <w:rsid w:val="006C6C05"/>
    <w:rsid w:val="006D5C48"/>
    <w:rsid w:val="006E1A0C"/>
    <w:rsid w:val="006E656B"/>
    <w:rsid w:val="006F6C14"/>
    <w:rsid w:val="00710C16"/>
    <w:rsid w:val="0071245E"/>
    <w:rsid w:val="00713E52"/>
    <w:rsid w:val="007208BB"/>
    <w:rsid w:val="00727BC7"/>
    <w:rsid w:val="0073140C"/>
    <w:rsid w:val="00732212"/>
    <w:rsid w:val="007366C0"/>
    <w:rsid w:val="00745A7B"/>
    <w:rsid w:val="00746169"/>
    <w:rsid w:val="00750C51"/>
    <w:rsid w:val="0076710E"/>
    <w:rsid w:val="007750DF"/>
    <w:rsid w:val="00775298"/>
    <w:rsid w:val="00780780"/>
    <w:rsid w:val="007857B5"/>
    <w:rsid w:val="007865D0"/>
    <w:rsid w:val="00791CC6"/>
    <w:rsid w:val="00791E37"/>
    <w:rsid w:val="0079434E"/>
    <w:rsid w:val="00796254"/>
    <w:rsid w:val="007B7322"/>
    <w:rsid w:val="007D286B"/>
    <w:rsid w:val="007E2375"/>
    <w:rsid w:val="007E2DEF"/>
    <w:rsid w:val="007E5FCE"/>
    <w:rsid w:val="008019BD"/>
    <w:rsid w:val="0080294A"/>
    <w:rsid w:val="00804B5B"/>
    <w:rsid w:val="00812127"/>
    <w:rsid w:val="00813F88"/>
    <w:rsid w:val="008152D6"/>
    <w:rsid w:val="00815D42"/>
    <w:rsid w:val="00817CAB"/>
    <w:rsid w:val="00820B08"/>
    <w:rsid w:val="00822066"/>
    <w:rsid w:val="008220D5"/>
    <w:rsid w:val="008236E1"/>
    <w:rsid w:val="00825C15"/>
    <w:rsid w:val="008315BF"/>
    <w:rsid w:val="00834292"/>
    <w:rsid w:val="008368A7"/>
    <w:rsid w:val="00836BC5"/>
    <w:rsid w:val="00842C2D"/>
    <w:rsid w:val="0085096E"/>
    <w:rsid w:val="00862ED4"/>
    <w:rsid w:val="0087100A"/>
    <w:rsid w:val="00871E78"/>
    <w:rsid w:val="00875DE2"/>
    <w:rsid w:val="00875F50"/>
    <w:rsid w:val="00886C9C"/>
    <w:rsid w:val="00887117"/>
    <w:rsid w:val="008911FA"/>
    <w:rsid w:val="00892BB3"/>
    <w:rsid w:val="0089488F"/>
    <w:rsid w:val="008A074B"/>
    <w:rsid w:val="008B5BF8"/>
    <w:rsid w:val="008C1713"/>
    <w:rsid w:val="008C175B"/>
    <w:rsid w:val="008E60EB"/>
    <w:rsid w:val="00900ABE"/>
    <w:rsid w:val="00912584"/>
    <w:rsid w:val="00916699"/>
    <w:rsid w:val="00916EBE"/>
    <w:rsid w:val="00920435"/>
    <w:rsid w:val="00931231"/>
    <w:rsid w:val="00931336"/>
    <w:rsid w:val="0093304D"/>
    <w:rsid w:val="00943844"/>
    <w:rsid w:val="009530B9"/>
    <w:rsid w:val="00953206"/>
    <w:rsid w:val="009575E9"/>
    <w:rsid w:val="00962404"/>
    <w:rsid w:val="009666FD"/>
    <w:rsid w:val="00967823"/>
    <w:rsid w:val="00974ADD"/>
    <w:rsid w:val="00981E31"/>
    <w:rsid w:val="009873C4"/>
    <w:rsid w:val="009879B2"/>
    <w:rsid w:val="00994A8E"/>
    <w:rsid w:val="00995B3F"/>
    <w:rsid w:val="00995C93"/>
    <w:rsid w:val="009A0A71"/>
    <w:rsid w:val="009A1D99"/>
    <w:rsid w:val="009A5974"/>
    <w:rsid w:val="009A6B1C"/>
    <w:rsid w:val="009B1F29"/>
    <w:rsid w:val="009B367F"/>
    <w:rsid w:val="009C741E"/>
    <w:rsid w:val="009C77EB"/>
    <w:rsid w:val="009D512F"/>
    <w:rsid w:val="009E299C"/>
    <w:rsid w:val="009E4D7B"/>
    <w:rsid w:val="009E560B"/>
    <w:rsid w:val="009E71B9"/>
    <w:rsid w:val="00A02D81"/>
    <w:rsid w:val="00A11173"/>
    <w:rsid w:val="00A23729"/>
    <w:rsid w:val="00A26EA8"/>
    <w:rsid w:val="00A30256"/>
    <w:rsid w:val="00A33E9D"/>
    <w:rsid w:val="00A37309"/>
    <w:rsid w:val="00A41E07"/>
    <w:rsid w:val="00A537D6"/>
    <w:rsid w:val="00A577C3"/>
    <w:rsid w:val="00A75F47"/>
    <w:rsid w:val="00A82022"/>
    <w:rsid w:val="00A82DC9"/>
    <w:rsid w:val="00A86154"/>
    <w:rsid w:val="00A95DB4"/>
    <w:rsid w:val="00AA321C"/>
    <w:rsid w:val="00AA4900"/>
    <w:rsid w:val="00AB6B1F"/>
    <w:rsid w:val="00AC1CE6"/>
    <w:rsid w:val="00AC1ED9"/>
    <w:rsid w:val="00AC431B"/>
    <w:rsid w:val="00AD203C"/>
    <w:rsid w:val="00AE3284"/>
    <w:rsid w:val="00AF1F65"/>
    <w:rsid w:val="00AF6388"/>
    <w:rsid w:val="00B028E1"/>
    <w:rsid w:val="00B067D6"/>
    <w:rsid w:val="00B07F70"/>
    <w:rsid w:val="00B115AD"/>
    <w:rsid w:val="00B2174B"/>
    <w:rsid w:val="00B2427D"/>
    <w:rsid w:val="00B27CFF"/>
    <w:rsid w:val="00B340CA"/>
    <w:rsid w:val="00B411BF"/>
    <w:rsid w:val="00B56AF3"/>
    <w:rsid w:val="00B720D8"/>
    <w:rsid w:val="00B76693"/>
    <w:rsid w:val="00B76AFB"/>
    <w:rsid w:val="00B77682"/>
    <w:rsid w:val="00B824C2"/>
    <w:rsid w:val="00B8402A"/>
    <w:rsid w:val="00B92AED"/>
    <w:rsid w:val="00B978D8"/>
    <w:rsid w:val="00BA5CC2"/>
    <w:rsid w:val="00BA6D08"/>
    <w:rsid w:val="00BA6EA3"/>
    <w:rsid w:val="00BB1326"/>
    <w:rsid w:val="00BB5B1C"/>
    <w:rsid w:val="00BB73A3"/>
    <w:rsid w:val="00BC146E"/>
    <w:rsid w:val="00BC32BC"/>
    <w:rsid w:val="00BC6A2A"/>
    <w:rsid w:val="00BC7F96"/>
    <w:rsid w:val="00BE31FD"/>
    <w:rsid w:val="00BE3BB9"/>
    <w:rsid w:val="00BF27C7"/>
    <w:rsid w:val="00C03562"/>
    <w:rsid w:val="00C165DC"/>
    <w:rsid w:val="00C16D26"/>
    <w:rsid w:val="00C1704A"/>
    <w:rsid w:val="00C2399D"/>
    <w:rsid w:val="00C32B55"/>
    <w:rsid w:val="00C33AD4"/>
    <w:rsid w:val="00C34727"/>
    <w:rsid w:val="00C36235"/>
    <w:rsid w:val="00C37FBF"/>
    <w:rsid w:val="00C4017C"/>
    <w:rsid w:val="00C60148"/>
    <w:rsid w:val="00C60CF7"/>
    <w:rsid w:val="00C661C7"/>
    <w:rsid w:val="00C71F97"/>
    <w:rsid w:val="00C72A9F"/>
    <w:rsid w:val="00C74848"/>
    <w:rsid w:val="00C75C8B"/>
    <w:rsid w:val="00C912FA"/>
    <w:rsid w:val="00C92D2F"/>
    <w:rsid w:val="00C933FC"/>
    <w:rsid w:val="00CA79F7"/>
    <w:rsid w:val="00CB141D"/>
    <w:rsid w:val="00CC3554"/>
    <w:rsid w:val="00CC432B"/>
    <w:rsid w:val="00CD3181"/>
    <w:rsid w:val="00CD4641"/>
    <w:rsid w:val="00CD7128"/>
    <w:rsid w:val="00CE3B24"/>
    <w:rsid w:val="00CF0071"/>
    <w:rsid w:val="00CF417A"/>
    <w:rsid w:val="00D06558"/>
    <w:rsid w:val="00D07107"/>
    <w:rsid w:val="00D14C22"/>
    <w:rsid w:val="00D20A11"/>
    <w:rsid w:val="00D31907"/>
    <w:rsid w:val="00D453FE"/>
    <w:rsid w:val="00D46BDD"/>
    <w:rsid w:val="00D53C58"/>
    <w:rsid w:val="00D60626"/>
    <w:rsid w:val="00D633C1"/>
    <w:rsid w:val="00D63A3E"/>
    <w:rsid w:val="00D64604"/>
    <w:rsid w:val="00D6621D"/>
    <w:rsid w:val="00D67A75"/>
    <w:rsid w:val="00D72313"/>
    <w:rsid w:val="00D7258E"/>
    <w:rsid w:val="00D751A7"/>
    <w:rsid w:val="00D85E34"/>
    <w:rsid w:val="00D95E23"/>
    <w:rsid w:val="00DA32D7"/>
    <w:rsid w:val="00DA4F54"/>
    <w:rsid w:val="00DA5EEE"/>
    <w:rsid w:val="00DB5DF6"/>
    <w:rsid w:val="00DB653C"/>
    <w:rsid w:val="00DC6A52"/>
    <w:rsid w:val="00DD0FE7"/>
    <w:rsid w:val="00DD6E05"/>
    <w:rsid w:val="00DF6AE4"/>
    <w:rsid w:val="00E0044E"/>
    <w:rsid w:val="00E144C1"/>
    <w:rsid w:val="00E203B1"/>
    <w:rsid w:val="00E212CF"/>
    <w:rsid w:val="00E4721F"/>
    <w:rsid w:val="00E52171"/>
    <w:rsid w:val="00E52AFE"/>
    <w:rsid w:val="00E61BA0"/>
    <w:rsid w:val="00E650D6"/>
    <w:rsid w:val="00E76621"/>
    <w:rsid w:val="00E82E8D"/>
    <w:rsid w:val="00E8306E"/>
    <w:rsid w:val="00E84D41"/>
    <w:rsid w:val="00E87141"/>
    <w:rsid w:val="00EA33F5"/>
    <w:rsid w:val="00EB1D97"/>
    <w:rsid w:val="00EB42CB"/>
    <w:rsid w:val="00EB5772"/>
    <w:rsid w:val="00EC64A2"/>
    <w:rsid w:val="00EC6516"/>
    <w:rsid w:val="00EE06C8"/>
    <w:rsid w:val="00EE51BC"/>
    <w:rsid w:val="00EF4C41"/>
    <w:rsid w:val="00F07651"/>
    <w:rsid w:val="00F1374F"/>
    <w:rsid w:val="00F23017"/>
    <w:rsid w:val="00F322D9"/>
    <w:rsid w:val="00F35AD5"/>
    <w:rsid w:val="00F36890"/>
    <w:rsid w:val="00F3713D"/>
    <w:rsid w:val="00F404ED"/>
    <w:rsid w:val="00F45880"/>
    <w:rsid w:val="00F57D13"/>
    <w:rsid w:val="00F62EFE"/>
    <w:rsid w:val="00F714AE"/>
    <w:rsid w:val="00F7475C"/>
    <w:rsid w:val="00F757B8"/>
    <w:rsid w:val="00F76739"/>
    <w:rsid w:val="00F8522D"/>
    <w:rsid w:val="00F91843"/>
    <w:rsid w:val="00F92B68"/>
    <w:rsid w:val="00FA3777"/>
    <w:rsid w:val="00FA3E7E"/>
    <w:rsid w:val="00FB18A8"/>
    <w:rsid w:val="00FC0ECE"/>
    <w:rsid w:val="00FD2CF4"/>
    <w:rsid w:val="00FE0987"/>
    <w:rsid w:val="00FF35E8"/>
    <w:rsid w:val="00FF5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EE9B"/>
  <w15:docId w15:val="{BAC20321-98E9-C642-BDC8-31749F807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CellMar>
        <w:left w:w="115" w:type="dxa"/>
        <w:right w:w="115" w:type="dxa"/>
      </w:tblCellMar>
    </w:tblPr>
  </w:style>
  <w:style w:type="paragraph" w:styleId="ListParagraph">
    <w:name w:val="List Paragraph"/>
    <w:basedOn w:val="Normal"/>
    <w:uiPriority w:val="34"/>
    <w:qFormat/>
    <w:rsid w:val="00974ADD"/>
    <w:pPr>
      <w:ind w:left="720"/>
      <w:contextualSpacing/>
    </w:pPr>
  </w:style>
  <w:style w:type="character" w:styleId="Hyperlink">
    <w:name w:val="Hyperlink"/>
    <w:basedOn w:val="DefaultParagraphFont"/>
    <w:uiPriority w:val="99"/>
    <w:unhideWhenUsed/>
    <w:rsid w:val="00286D76"/>
    <w:rPr>
      <w:color w:val="0563C1" w:themeColor="hyperlink"/>
      <w:u w:val="single"/>
    </w:rPr>
  </w:style>
  <w:style w:type="character" w:styleId="UnresolvedMention">
    <w:name w:val="Unresolved Mention"/>
    <w:basedOn w:val="DefaultParagraphFont"/>
    <w:uiPriority w:val="99"/>
    <w:semiHidden/>
    <w:unhideWhenUsed/>
    <w:rsid w:val="00286D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3510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3</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Ryan</cp:lastModifiedBy>
  <cp:revision>463</cp:revision>
  <dcterms:created xsi:type="dcterms:W3CDTF">2020-11-23T09:28:00Z</dcterms:created>
  <dcterms:modified xsi:type="dcterms:W3CDTF">2023-04-22T17:43:00Z</dcterms:modified>
</cp:coreProperties>
</file>